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D" w:rsidRPr="00FE5A59" w:rsidRDefault="00BC7591" w:rsidP="003D0DF3">
      <w:pPr>
        <w:jc w:val="center"/>
        <w:rPr>
          <w:b/>
          <w:sz w:val="40"/>
          <w:szCs w:val="28"/>
          <w:u w:val="single"/>
        </w:rPr>
      </w:pPr>
      <w:r w:rsidRPr="00FE5A59">
        <w:rPr>
          <w:b/>
          <w:sz w:val="40"/>
          <w:szCs w:val="28"/>
          <w:u w:val="single"/>
        </w:rPr>
        <w:t xml:space="preserve">HPB </w:t>
      </w:r>
      <w:r w:rsidR="00786715" w:rsidRPr="00FE5A59">
        <w:rPr>
          <w:b/>
          <w:sz w:val="40"/>
          <w:szCs w:val="28"/>
          <w:u w:val="single"/>
        </w:rPr>
        <w:t xml:space="preserve">MDM </w:t>
      </w:r>
      <w:r w:rsidRPr="00FE5A59">
        <w:rPr>
          <w:b/>
          <w:sz w:val="40"/>
          <w:szCs w:val="28"/>
          <w:u w:val="single"/>
        </w:rPr>
        <w:t xml:space="preserve">updated radiology </w:t>
      </w:r>
      <w:r w:rsidR="007C68B6" w:rsidRPr="00FE5A59">
        <w:rPr>
          <w:b/>
          <w:sz w:val="40"/>
          <w:szCs w:val="28"/>
          <w:u w:val="single"/>
        </w:rPr>
        <w:t>imaging</w:t>
      </w:r>
      <w:r w:rsidR="00DE466A" w:rsidRPr="00FE5A59">
        <w:rPr>
          <w:b/>
          <w:sz w:val="40"/>
          <w:szCs w:val="28"/>
          <w:u w:val="single"/>
        </w:rPr>
        <w:t xml:space="preserve"> </w:t>
      </w:r>
      <w:r w:rsidRPr="00FE5A59">
        <w:rPr>
          <w:b/>
          <w:sz w:val="40"/>
          <w:szCs w:val="28"/>
          <w:u w:val="single"/>
        </w:rPr>
        <w:t>protocol recommendations</w:t>
      </w:r>
    </w:p>
    <w:p w:rsidR="001B0510" w:rsidRDefault="001B0510" w:rsidP="003D0DF3">
      <w:pPr>
        <w:jc w:val="both"/>
        <w:rPr>
          <w:b/>
          <w:sz w:val="28"/>
          <w:szCs w:val="28"/>
          <w:u w:val="single"/>
        </w:rPr>
      </w:pPr>
    </w:p>
    <w:p w:rsidR="00B9512D" w:rsidRDefault="00B9512D" w:rsidP="003D0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Author Dr J</w:t>
      </w:r>
      <w:r w:rsidRPr="00CF6F14">
        <w:rPr>
          <w:b/>
          <w:sz w:val="28"/>
          <w:szCs w:val="28"/>
        </w:rPr>
        <w:t>ohn Scott</w:t>
      </w:r>
      <w:r>
        <w:rPr>
          <w:b/>
          <w:sz w:val="28"/>
          <w:szCs w:val="28"/>
        </w:rPr>
        <w:t>. Consultant Radiologist Freeman H</w:t>
      </w:r>
      <w:r w:rsidRPr="00CF6F14">
        <w:rPr>
          <w:b/>
          <w:sz w:val="28"/>
          <w:szCs w:val="28"/>
        </w:rPr>
        <w:t>ospital</w:t>
      </w:r>
    </w:p>
    <w:p w:rsidR="001B0510" w:rsidRDefault="001B0510" w:rsidP="003D0DF3">
      <w:pPr>
        <w:jc w:val="both"/>
        <w:rPr>
          <w:b/>
          <w:sz w:val="28"/>
          <w:szCs w:val="28"/>
        </w:rPr>
      </w:pPr>
    </w:p>
    <w:p w:rsidR="006F2D03" w:rsidRDefault="00833F51" w:rsidP="003D0DF3">
      <w:pPr>
        <w:jc w:val="both"/>
        <w:rPr>
          <w:sz w:val="28"/>
          <w:szCs w:val="28"/>
        </w:rPr>
      </w:pPr>
      <w:r>
        <w:rPr>
          <w:sz w:val="28"/>
          <w:szCs w:val="28"/>
        </w:rPr>
        <w:t>This document is intended as a guide to aid radiologists and clinicians who are involved with the imaging of patients with hepatobiliary disorders.</w:t>
      </w:r>
      <w:r w:rsidR="00D475C4">
        <w:rPr>
          <w:sz w:val="28"/>
          <w:szCs w:val="28"/>
        </w:rPr>
        <w:t xml:space="preserve"> T</w:t>
      </w:r>
      <w:r>
        <w:rPr>
          <w:sz w:val="28"/>
          <w:szCs w:val="28"/>
        </w:rPr>
        <w:t>he exact imaging protocol u</w:t>
      </w:r>
      <w:r w:rsidR="00997B93">
        <w:rPr>
          <w:sz w:val="28"/>
          <w:szCs w:val="28"/>
        </w:rPr>
        <w:t>tilized</w:t>
      </w:r>
      <w:r>
        <w:rPr>
          <w:sz w:val="28"/>
          <w:szCs w:val="28"/>
        </w:rPr>
        <w:t xml:space="preserve"> should be decided</w:t>
      </w:r>
      <w:r w:rsidR="00D22A46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by the supervising radiologist and</w:t>
      </w:r>
      <w:r w:rsidR="00D475C4">
        <w:rPr>
          <w:sz w:val="28"/>
          <w:szCs w:val="28"/>
        </w:rPr>
        <w:t xml:space="preserve"> </w:t>
      </w:r>
      <w:r w:rsidR="0060784A">
        <w:rPr>
          <w:sz w:val="28"/>
          <w:szCs w:val="28"/>
        </w:rPr>
        <w:t xml:space="preserve">obviously </w:t>
      </w:r>
      <w:r w:rsidR="00D475C4">
        <w:rPr>
          <w:sz w:val="28"/>
          <w:szCs w:val="28"/>
        </w:rPr>
        <w:t xml:space="preserve">depends </w:t>
      </w:r>
      <w:r>
        <w:rPr>
          <w:sz w:val="28"/>
          <w:szCs w:val="28"/>
        </w:rPr>
        <w:t>upon many factors including the patient’s fitness and clinical question</w:t>
      </w:r>
      <w:r w:rsidR="00D475C4">
        <w:rPr>
          <w:sz w:val="28"/>
          <w:szCs w:val="28"/>
        </w:rPr>
        <w:t xml:space="preserve"> to be answered</w:t>
      </w:r>
      <w:r>
        <w:rPr>
          <w:sz w:val="28"/>
          <w:szCs w:val="28"/>
        </w:rPr>
        <w:t xml:space="preserve">. </w:t>
      </w:r>
    </w:p>
    <w:p w:rsidR="00CC2173" w:rsidRDefault="00833F51" w:rsidP="003D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3235E" w:rsidRPr="0083235E">
        <w:rPr>
          <w:sz w:val="28"/>
          <w:szCs w:val="28"/>
        </w:rPr>
        <w:t xml:space="preserve">protocols have been adapted </w:t>
      </w:r>
      <w:r w:rsidR="00395F4C" w:rsidRPr="0083235E">
        <w:rPr>
          <w:sz w:val="28"/>
          <w:szCs w:val="28"/>
        </w:rPr>
        <w:t>from</w:t>
      </w:r>
      <w:r w:rsidR="0083235E" w:rsidRPr="0083235E">
        <w:rPr>
          <w:sz w:val="28"/>
          <w:szCs w:val="28"/>
        </w:rPr>
        <w:t xml:space="preserve"> the Royal </w:t>
      </w:r>
      <w:r w:rsidR="00395F4C">
        <w:rPr>
          <w:sz w:val="28"/>
          <w:szCs w:val="28"/>
        </w:rPr>
        <w:t>C</w:t>
      </w:r>
      <w:r w:rsidR="0083235E" w:rsidRPr="0083235E">
        <w:rPr>
          <w:sz w:val="28"/>
          <w:szCs w:val="28"/>
        </w:rPr>
        <w:t xml:space="preserve">ollege of Radiology </w:t>
      </w:r>
      <w:r w:rsidR="00BE47D2">
        <w:rPr>
          <w:sz w:val="28"/>
          <w:szCs w:val="28"/>
        </w:rPr>
        <w:t xml:space="preserve">(RCR) </w:t>
      </w:r>
      <w:r w:rsidR="0083235E" w:rsidRPr="0083235E">
        <w:rPr>
          <w:sz w:val="28"/>
          <w:szCs w:val="28"/>
        </w:rPr>
        <w:t>guidelines for cross sectional imaging in cancer</w:t>
      </w:r>
      <w:r w:rsidR="00995D7A">
        <w:rPr>
          <w:sz w:val="28"/>
          <w:szCs w:val="28"/>
        </w:rPr>
        <w:t xml:space="preserve"> (</w:t>
      </w:r>
      <w:r w:rsidR="00416A11">
        <w:rPr>
          <w:sz w:val="28"/>
          <w:szCs w:val="28"/>
        </w:rPr>
        <w:t>1</w:t>
      </w:r>
      <w:r w:rsidR="00995D7A">
        <w:rPr>
          <w:sz w:val="28"/>
          <w:szCs w:val="28"/>
        </w:rPr>
        <w:t>)</w:t>
      </w:r>
      <w:r w:rsidR="0083235E" w:rsidRPr="0083235E">
        <w:rPr>
          <w:sz w:val="28"/>
          <w:szCs w:val="28"/>
        </w:rPr>
        <w:t>. The main difference</w:t>
      </w:r>
      <w:r w:rsidR="00AE327A">
        <w:rPr>
          <w:sz w:val="28"/>
          <w:szCs w:val="28"/>
        </w:rPr>
        <w:t>s</w:t>
      </w:r>
      <w:r w:rsidR="00995D7A">
        <w:rPr>
          <w:sz w:val="28"/>
          <w:szCs w:val="28"/>
        </w:rPr>
        <w:t xml:space="preserve"> compared with the RCR guidelines</w:t>
      </w:r>
      <w:r w:rsidR="00AE327A">
        <w:rPr>
          <w:sz w:val="28"/>
          <w:szCs w:val="28"/>
        </w:rPr>
        <w:t xml:space="preserve"> are that I have tried to give more specific protocols for common HPB disorders and, in particular,</w:t>
      </w:r>
      <w:r w:rsidR="0083235E" w:rsidRPr="0083235E">
        <w:rPr>
          <w:sz w:val="28"/>
          <w:szCs w:val="28"/>
        </w:rPr>
        <w:t xml:space="preserve"> </w:t>
      </w:r>
      <w:r w:rsidR="00BF0F87">
        <w:rPr>
          <w:sz w:val="28"/>
          <w:szCs w:val="28"/>
        </w:rPr>
        <w:t>I</w:t>
      </w:r>
      <w:r w:rsidR="0083235E" w:rsidRPr="0083235E">
        <w:rPr>
          <w:sz w:val="28"/>
          <w:szCs w:val="28"/>
        </w:rPr>
        <w:t xml:space="preserve"> recommend a pre contrast examination</w:t>
      </w:r>
      <w:r w:rsidR="00395F4C">
        <w:rPr>
          <w:sz w:val="28"/>
          <w:szCs w:val="28"/>
        </w:rPr>
        <w:t xml:space="preserve"> in many of our </w:t>
      </w:r>
      <w:r w:rsidR="00AE327A">
        <w:rPr>
          <w:sz w:val="28"/>
          <w:szCs w:val="28"/>
        </w:rPr>
        <w:t xml:space="preserve">CT </w:t>
      </w:r>
      <w:r w:rsidR="00395F4C">
        <w:rPr>
          <w:sz w:val="28"/>
          <w:szCs w:val="28"/>
        </w:rPr>
        <w:t>protocols</w:t>
      </w:r>
      <w:r w:rsidR="00967029">
        <w:rPr>
          <w:sz w:val="28"/>
          <w:szCs w:val="28"/>
        </w:rPr>
        <w:t xml:space="preserve"> particularly for the initial CT examination</w:t>
      </w:r>
      <w:r w:rsidR="00972371">
        <w:rPr>
          <w:sz w:val="28"/>
          <w:szCs w:val="28"/>
        </w:rPr>
        <w:t>.</w:t>
      </w: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7D1E5A" w:rsidRDefault="007D1E5A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E8139C" w:rsidRDefault="00E8139C" w:rsidP="003D0DF3">
      <w:pPr>
        <w:jc w:val="both"/>
        <w:rPr>
          <w:sz w:val="28"/>
          <w:szCs w:val="28"/>
        </w:rPr>
      </w:pPr>
    </w:p>
    <w:p w:rsidR="00F73C2A" w:rsidRDefault="00F73C2A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 </w:t>
      </w:r>
      <w:r w:rsidR="00794598">
        <w:rPr>
          <w:b/>
          <w:sz w:val="28"/>
          <w:szCs w:val="28"/>
          <w:u w:val="single"/>
        </w:rPr>
        <w:t>p</w:t>
      </w:r>
      <w:r w:rsidRPr="00F73C2A">
        <w:rPr>
          <w:b/>
          <w:sz w:val="28"/>
          <w:szCs w:val="28"/>
          <w:u w:val="single"/>
        </w:rPr>
        <w:t xml:space="preserve">ancreatic cancer </w:t>
      </w:r>
      <w:r w:rsidR="00E8139C">
        <w:rPr>
          <w:b/>
          <w:sz w:val="28"/>
          <w:szCs w:val="28"/>
          <w:u w:val="single"/>
        </w:rPr>
        <w:t>s</w:t>
      </w:r>
      <w:r w:rsidRPr="00F73C2A">
        <w:rPr>
          <w:b/>
          <w:sz w:val="28"/>
          <w:szCs w:val="28"/>
          <w:u w:val="single"/>
        </w:rPr>
        <w:t>taging</w:t>
      </w:r>
      <w:r>
        <w:rPr>
          <w:b/>
          <w:sz w:val="28"/>
          <w:szCs w:val="28"/>
          <w:u w:val="single"/>
        </w:rPr>
        <w:t>:</w:t>
      </w:r>
    </w:p>
    <w:p w:rsidR="00F73C2A" w:rsidRDefault="00F73C2A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F73C2A" w:rsidRDefault="00F73C2A" w:rsidP="003D0DF3">
      <w:pPr>
        <w:pStyle w:val="ListParagraph"/>
        <w:jc w:val="both"/>
        <w:rPr>
          <w:b/>
          <w:sz w:val="28"/>
          <w:szCs w:val="28"/>
        </w:rPr>
      </w:pPr>
      <w:r w:rsidRPr="00F73C2A">
        <w:rPr>
          <w:b/>
          <w:sz w:val="28"/>
          <w:szCs w:val="28"/>
        </w:rPr>
        <w:t>Stage before biliary stenting if possible.</w:t>
      </w:r>
    </w:p>
    <w:p w:rsidR="00B67BB8" w:rsidRPr="00F73C2A" w:rsidRDefault="00B67BB8" w:rsidP="003D0DF3">
      <w:pPr>
        <w:pStyle w:val="ListParagraph"/>
        <w:jc w:val="both"/>
        <w:rPr>
          <w:b/>
          <w:sz w:val="28"/>
          <w:szCs w:val="28"/>
        </w:rPr>
      </w:pPr>
    </w:p>
    <w:p w:rsidR="00F73C2A" w:rsidRDefault="00F73C2A" w:rsidP="003D0DF3">
      <w:pPr>
        <w:pStyle w:val="ListParagraph"/>
        <w:jc w:val="both"/>
        <w:rPr>
          <w:sz w:val="28"/>
          <w:szCs w:val="28"/>
        </w:rPr>
      </w:pPr>
      <w:r w:rsidRPr="00F73C2A">
        <w:rPr>
          <w:b/>
          <w:sz w:val="28"/>
          <w:szCs w:val="28"/>
        </w:rPr>
        <w:t>Triple phase CT protocol including pre, arterial and portal venous imaging.</w:t>
      </w:r>
      <w:r>
        <w:rPr>
          <w:sz w:val="28"/>
          <w:szCs w:val="28"/>
        </w:rPr>
        <w:t xml:space="preserve"> Exact parameters will </w:t>
      </w:r>
      <w:r w:rsidR="00887ED9">
        <w:rPr>
          <w:sz w:val="28"/>
          <w:szCs w:val="28"/>
        </w:rPr>
        <w:t>vary</w:t>
      </w:r>
      <w:r>
        <w:rPr>
          <w:sz w:val="28"/>
          <w:szCs w:val="28"/>
        </w:rPr>
        <w:t xml:space="preserve"> with different CT units but require thin slice arterial</w:t>
      </w:r>
      <w:r w:rsidR="00D348A4">
        <w:rPr>
          <w:sz w:val="28"/>
          <w:szCs w:val="28"/>
        </w:rPr>
        <w:t>/early pancreatic parenchymal phase</w:t>
      </w:r>
      <w:r w:rsidR="007D1E5A">
        <w:rPr>
          <w:sz w:val="28"/>
          <w:szCs w:val="28"/>
        </w:rPr>
        <w:t xml:space="preserve"> imaging. For </w:t>
      </w:r>
      <w:r w:rsidR="00CE00FD">
        <w:rPr>
          <w:sz w:val="28"/>
          <w:szCs w:val="28"/>
        </w:rPr>
        <w:t>our arterial</w:t>
      </w:r>
      <w:r w:rsidR="00324E1A">
        <w:rPr>
          <w:sz w:val="28"/>
          <w:szCs w:val="28"/>
        </w:rPr>
        <w:t>/parenchymal</w:t>
      </w:r>
      <w:r w:rsidR="00CE00FD">
        <w:rPr>
          <w:sz w:val="28"/>
          <w:szCs w:val="28"/>
        </w:rPr>
        <w:t xml:space="preserve"> phase</w:t>
      </w:r>
      <w:r w:rsidR="007D1E5A">
        <w:rPr>
          <w:sz w:val="28"/>
          <w:szCs w:val="28"/>
        </w:rPr>
        <w:t xml:space="preserve">, we scan at 40 seconds post contrast and obtain </w:t>
      </w:r>
      <w:r>
        <w:rPr>
          <w:sz w:val="28"/>
          <w:szCs w:val="28"/>
        </w:rPr>
        <w:t>1mm and 3mm slice</w:t>
      </w:r>
      <w:r w:rsidR="00CE00FD">
        <w:rPr>
          <w:sz w:val="28"/>
          <w:szCs w:val="28"/>
        </w:rPr>
        <w:t>s with</w:t>
      </w:r>
      <w:r>
        <w:rPr>
          <w:sz w:val="28"/>
          <w:szCs w:val="28"/>
        </w:rPr>
        <w:t xml:space="preserve"> axial</w:t>
      </w:r>
      <w:r w:rsidR="00E94534">
        <w:rPr>
          <w:sz w:val="28"/>
          <w:szCs w:val="28"/>
        </w:rPr>
        <w:t xml:space="preserve"> and coronal</w:t>
      </w:r>
      <w:r w:rsidR="00D348A4">
        <w:rPr>
          <w:sz w:val="28"/>
          <w:szCs w:val="28"/>
        </w:rPr>
        <w:t xml:space="preserve"> </w:t>
      </w:r>
      <w:r w:rsidR="00CE00FD">
        <w:rPr>
          <w:sz w:val="28"/>
          <w:szCs w:val="28"/>
        </w:rPr>
        <w:t>reconstructions.</w:t>
      </w:r>
    </w:p>
    <w:p w:rsidR="00F73C2A" w:rsidRDefault="00F73C2A" w:rsidP="003D0D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Pre</w:t>
      </w:r>
      <w:r w:rsidR="00E94534">
        <w:rPr>
          <w:sz w:val="28"/>
          <w:szCs w:val="28"/>
        </w:rPr>
        <w:t>-</w:t>
      </w:r>
      <w:r>
        <w:rPr>
          <w:sz w:val="28"/>
          <w:szCs w:val="28"/>
        </w:rPr>
        <w:t>contrast</w:t>
      </w:r>
      <w:r w:rsidR="000C5786">
        <w:rPr>
          <w:sz w:val="28"/>
          <w:szCs w:val="28"/>
        </w:rPr>
        <w:t xml:space="preserve"> (</w:t>
      </w:r>
      <w:proofErr w:type="spellStart"/>
      <w:r w:rsidR="00C33B09">
        <w:rPr>
          <w:sz w:val="28"/>
          <w:szCs w:val="28"/>
        </w:rPr>
        <w:t>i</w:t>
      </w:r>
      <w:proofErr w:type="spellEnd"/>
      <w:r w:rsidR="000C5786">
        <w:rPr>
          <w:sz w:val="28"/>
          <w:szCs w:val="28"/>
        </w:rPr>
        <w:t>)</w:t>
      </w:r>
      <w:r>
        <w:rPr>
          <w:sz w:val="28"/>
          <w:szCs w:val="28"/>
        </w:rPr>
        <w:t xml:space="preserve"> and portal venous imaging 3mm axial and coronal</w:t>
      </w:r>
      <w:r w:rsidR="001C63D1">
        <w:rPr>
          <w:sz w:val="28"/>
          <w:szCs w:val="28"/>
        </w:rPr>
        <w:t xml:space="preserve"> reconstructions</w:t>
      </w:r>
      <w:r w:rsidR="00E94534">
        <w:rPr>
          <w:sz w:val="28"/>
          <w:szCs w:val="28"/>
        </w:rPr>
        <w:t>.</w:t>
      </w:r>
    </w:p>
    <w:p w:rsidR="00E8139C" w:rsidRDefault="00E8139C" w:rsidP="003D0DF3">
      <w:pPr>
        <w:pStyle w:val="ListParagraph"/>
        <w:jc w:val="both"/>
        <w:rPr>
          <w:sz w:val="28"/>
          <w:szCs w:val="28"/>
        </w:rPr>
      </w:pPr>
    </w:p>
    <w:p w:rsidR="00E94534" w:rsidRDefault="00E94534" w:rsidP="003D0DF3">
      <w:pPr>
        <w:pStyle w:val="ListParagraph"/>
        <w:jc w:val="both"/>
        <w:rPr>
          <w:b/>
          <w:sz w:val="28"/>
          <w:szCs w:val="28"/>
        </w:rPr>
      </w:pPr>
      <w:r w:rsidRPr="00E94534">
        <w:rPr>
          <w:b/>
          <w:sz w:val="28"/>
          <w:szCs w:val="28"/>
        </w:rPr>
        <w:t>Also NOW recommend CT thorax</w:t>
      </w:r>
      <w:r w:rsidR="00E7460E">
        <w:rPr>
          <w:b/>
          <w:sz w:val="28"/>
          <w:szCs w:val="28"/>
        </w:rPr>
        <w:t xml:space="preserve"> </w:t>
      </w:r>
      <w:r w:rsidR="00E7460E" w:rsidRPr="00071763">
        <w:rPr>
          <w:sz w:val="28"/>
          <w:szCs w:val="28"/>
        </w:rPr>
        <w:t>(</w:t>
      </w:r>
      <w:r w:rsidR="001651F0">
        <w:rPr>
          <w:sz w:val="28"/>
          <w:szCs w:val="28"/>
        </w:rPr>
        <w:t>ii</w:t>
      </w:r>
      <w:r w:rsidR="00E7460E" w:rsidRPr="00071763">
        <w:rPr>
          <w:sz w:val="28"/>
          <w:szCs w:val="28"/>
        </w:rPr>
        <w:t>)</w:t>
      </w:r>
    </w:p>
    <w:p w:rsidR="00DA6E7F" w:rsidRDefault="00DA6E7F" w:rsidP="003D0DF3">
      <w:pPr>
        <w:pStyle w:val="ListParagraph"/>
        <w:ind w:left="1080"/>
        <w:jc w:val="both"/>
        <w:rPr>
          <w:sz w:val="28"/>
          <w:szCs w:val="28"/>
        </w:rPr>
      </w:pPr>
    </w:p>
    <w:p w:rsidR="000C0471" w:rsidRPr="00416A11" w:rsidRDefault="00F06054" w:rsidP="003D0DF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16A11">
        <w:rPr>
          <w:sz w:val="28"/>
          <w:szCs w:val="28"/>
        </w:rPr>
        <w:t>T</w:t>
      </w:r>
      <w:r w:rsidR="000C0471" w:rsidRPr="00416A11">
        <w:rPr>
          <w:sz w:val="28"/>
          <w:szCs w:val="28"/>
        </w:rPr>
        <w:t>he RCR guidelines</w:t>
      </w:r>
      <w:r w:rsidR="004D5128" w:rsidRPr="00416A11">
        <w:rPr>
          <w:sz w:val="28"/>
          <w:szCs w:val="28"/>
        </w:rPr>
        <w:t xml:space="preserve"> (1)</w:t>
      </w:r>
      <w:r w:rsidR="000C0471" w:rsidRPr="00416A11">
        <w:rPr>
          <w:sz w:val="28"/>
          <w:szCs w:val="28"/>
        </w:rPr>
        <w:t xml:space="preserve"> do not include a pre-contrast scan in pancreatic cancer </w:t>
      </w:r>
      <w:r w:rsidRPr="00416A11">
        <w:rPr>
          <w:sz w:val="28"/>
          <w:szCs w:val="28"/>
        </w:rPr>
        <w:t>staging although we</w:t>
      </w:r>
      <w:r w:rsidR="000C0471" w:rsidRPr="00416A11">
        <w:rPr>
          <w:sz w:val="28"/>
          <w:szCs w:val="28"/>
        </w:rPr>
        <w:t xml:space="preserve"> recommend it </w:t>
      </w:r>
      <w:r w:rsidR="002A75AE">
        <w:rPr>
          <w:sz w:val="28"/>
          <w:szCs w:val="28"/>
        </w:rPr>
        <w:t xml:space="preserve">particularly for the initial imaging </w:t>
      </w:r>
      <w:r w:rsidR="00D929C0" w:rsidRPr="00416A11">
        <w:rPr>
          <w:sz w:val="28"/>
          <w:szCs w:val="28"/>
        </w:rPr>
        <w:t xml:space="preserve">to detect </w:t>
      </w:r>
      <w:r w:rsidRPr="00416A11">
        <w:rPr>
          <w:sz w:val="28"/>
          <w:szCs w:val="28"/>
        </w:rPr>
        <w:t>CBD</w:t>
      </w:r>
      <w:r w:rsidR="00D929C0" w:rsidRPr="00416A11">
        <w:rPr>
          <w:sz w:val="28"/>
          <w:szCs w:val="28"/>
        </w:rPr>
        <w:t xml:space="preserve"> calculi which may be mistaken for an enhancing pancreatic mass.</w:t>
      </w:r>
    </w:p>
    <w:p w:rsidR="00CC2173" w:rsidRDefault="00CC2173" w:rsidP="003D0DF3">
      <w:pPr>
        <w:pStyle w:val="ListParagraph"/>
        <w:ind w:left="1080"/>
        <w:jc w:val="both"/>
        <w:rPr>
          <w:sz w:val="28"/>
          <w:szCs w:val="28"/>
        </w:rPr>
      </w:pPr>
    </w:p>
    <w:p w:rsidR="006F745D" w:rsidRPr="00416A11" w:rsidRDefault="006F745D" w:rsidP="003D0DF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16A11">
        <w:rPr>
          <w:sz w:val="28"/>
          <w:szCs w:val="28"/>
        </w:rPr>
        <w:t>CT thorax should be restricted to those patients who have imaging suspicious for pancreatic malignancy and is not recommended for routine pancreatic cyst patient follow up.</w:t>
      </w:r>
    </w:p>
    <w:p w:rsidR="00C627A7" w:rsidRDefault="00C627A7" w:rsidP="003D0DF3">
      <w:pPr>
        <w:pStyle w:val="ListParagraph"/>
        <w:jc w:val="both"/>
        <w:rPr>
          <w:sz w:val="28"/>
          <w:szCs w:val="28"/>
        </w:rPr>
      </w:pPr>
    </w:p>
    <w:p w:rsidR="00C627A7" w:rsidRDefault="00C627A7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627A7">
        <w:rPr>
          <w:b/>
          <w:sz w:val="28"/>
          <w:szCs w:val="28"/>
          <w:u w:val="single"/>
        </w:rPr>
        <w:t>Pancreatic cyst initial analysis</w:t>
      </w:r>
    </w:p>
    <w:p w:rsidR="00D438E4" w:rsidRDefault="00D438E4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C627A7" w:rsidRDefault="00C627A7" w:rsidP="003D0DF3">
      <w:pPr>
        <w:pStyle w:val="ListParagraph"/>
        <w:jc w:val="both"/>
        <w:rPr>
          <w:sz w:val="28"/>
          <w:szCs w:val="28"/>
        </w:rPr>
      </w:pPr>
      <w:r w:rsidRPr="00F73C2A">
        <w:rPr>
          <w:b/>
          <w:sz w:val="28"/>
          <w:szCs w:val="28"/>
        </w:rPr>
        <w:t>Triple phase CT protocol including pre, arterial and portal venous imaging.</w:t>
      </w:r>
      <w:r>
        <w:rPr>
          <w:sz w:val="28"/>
          <w:szCs w:val="28"/>
        </w:rPr>
        <w:t xml:space="preserve"> </w:t>
      </w:r>
      <w:r w:rsidR="00D438E4">
        <w:rPr>
          <w:sz w:val="28"/>
          <w:szCs w:val="28"/>
        </w:rPr>
        <w:t>Imaging as for pancreatic cancer staging but routine C</w:t>
      </w:r>
      <w:r w:rsidR="004628C8">
        <w:rPr>
          <w:sz w:val="28"/>
          <w:szCs w:val="28"/>
        </w:rPr>
        <w:t>T</w:t>
      </w:r>
      <w:r w:rsidR="00D438E4">
        <w:rPr>
          <w:sz w:val="28"/>
          <w:szCs w:val="28"/>
        </w:rPr>
        <w:t xml:space="preserve"> thorax not recommended.</w:t>
      </w:r>
    </w:p>
    <w:p w:rsidR="00B67BB8" w:rsidRDefault="00B67BB8" w:rsidP="003D0DF3">
      <w:pPr>
        <w:pStyle w:val="ListParagraph"/>
        <w:jc w:val="both"/>
        <w:rPr>
          <w:sz w:val="28"/>
          <w:szCs w:val="28"/>
        </w:rPr>
      </w:pPr>
    </w:p>
    <w:p w:rsidR="00013E98" w:rsidRDefault="00013E98" w:rsidP="003D0DF3">
      <w:pPr>
        <w:pStyle w:val="ListParagraph"/>
        <w:jc w:val="both"/>
        <w:rPr>
          <w:sz w:val="28"/>
          <w:szCs w:val="28"/>
        </w:rPr>
      </w:pPr>
      <w:r w:rsidRPr="00E10112">
        <w:rPr>
          <w:sz w:val="28"/>
          <w:szCs w:val="28"/>
        </w:rPr>
        <w:t>In a young patient</w:t>
      </w:r>
      <w:r w:rsidR="00026E6B">
        <w:rPr>
          <w:sz w:val="28"/>
          <w:szCs w:val="28"/>
        </w:rPr>
        <w:t>,</w:t>
      </w:r>
      <w:r w:rsidRPr="00E10112">
        <w:rPr>
          <w:sz w:val="28"/>
          <w:szCs w:val="28"/>
        </w:rPr>
        <w:t xml:space="preserve"> consider MRCP and </w:t>
      </w:r>
      <w:r w:rsidR="0008055E">
        <w:rPr>
          <w:sz w:val="28"/>
          <w:szCs w:val="28"/>
        </w:rPr>
        <w:t xml:space="preserve">contrast enhanced </w:t>
      </w:r>
      <w:r w:rsidRPr="00E10112">
        <w:rPr>
          <w:sz w:val="28"/>
          <w:szCs w:val="28"/>
        </w:rPr>
        <w:t>MRI pancreas as an alternative to CT imaging if there is local expertise in pancreatic MRI imaging available</w:t>
      </w:r>
      <w:r w:rsidR="00026E6B">
        <w:rPr>
          <w:sz w:val="28"/>
          <w:szCs w:val="28"/>
        </w:rPr>
        <w:t>.</w:t>
      </w:r>
    </w:p>
    <w:p w:rsidR="00FE5A59" w:rsidRDefault="00FE5A59" w:rsidP="003D0DF3">
      <w:pPr>
        <w:pStyle w:val="ListParagraph"/>
        <w:jc w:val="both"/>
        <w:rPr>
          <w:sz w:val="28"/>
          <w:szCs w:val="28"/>
        </w:rPr>
      </w:pPr>
    </w:p>
    <w:p w:rsidR="00FE5A59" w:rsidRPr="00E10112" w:rsidRDefault="00FE5A59" w:rsidP="003D0DF3">
      <w:pPr>
        <w:pStyle w:val="ListParagraph"/>
        <w:jc w:val="both"/>
        <w:rPr>
          <w:sz w:val="28"/>
          <w:szCs w:val="28"/>
        </w:rPr>
      </w:pPr>
    </w:p>
    <w:p w:rsidR="00FE5A59" w:rsidRDefault="00FE5A59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741870" w:rsidRPr="00567D87" w:rsidRDefault="00976574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Suspected Hepatocellular carcinoma</w:t>
      </w:r>
    </w:p>
    <w:p w:rsidR="00567D87" w:rsidRDefault="00567D87" w:rsidP="003D0DF3">
      <w:pPr>
        <w:pStyle w:val="ListParagraph"/>
        <w:jc w:val="both"/>
        <w:rPr>
          <w:b/>
          <w:sz w:val="28"/>
          <w:szCs w:val="28"/>
        </w:rPr>
      </w:pPr>
    </w:p>
    <w:p w:rsidR="00DC6FF4" w:rsidRDefault="00F77813" w:rsidP="003D0DF3">
      <w:pPr>
        <w:pStyle w:val="ListParagraph"/>
        <w:jc w:val="both"/>
        <w:rPr>
          <w:sz w:val="28"/>
          <w:szCs w:val="28"/>
        </w:rPr>
      </w:pPr>
      <w:r w:rsidRPr="00F77813">
        <w:rPr>
          <w:b/>
          <w:sz w:val="28"/>
          <w:szCs w:val="28"/>
        </w:rPr>
        <w:t>To establish diagnosis</w:t>
      </w:r>
      <w:r>
        <w:rPr>
          <w:sz w:val="28"/>
          <w:szCs w:val="28"/>
        </w:rPr>
        <w:t>, e</w:t>
      </w:r>
      <w:r w:rsidR="00AD07A3">
        <w:rPr>
          <w:sz w:val="28"/>
          <w:szCs w:val="28"/>
        </w:rPr>
        <w:t xml:space="preserve">ither four </w:t>
      </w:r>
      <w:proofErr w:type="gramStart"/>
      <w:r w:rsidR="00337E06">
        <w:rPr>
          <w:sz w:val="28"/>
          <w:szCs w:val="28"/>
        </w:rPr>
        <w:t>phase</w:t>
      </w:r>
      <w:proofErr w:type="gramEnd"/>
      <w:r w:rsidR="00AD07A3">
        <w:rPr>
          <w:sz w:val="28"/>
          <w:szCs w:val="28"/>
        </w:rPr>
        <w:t xml:space="preserve"> </w:t>
      </w:r>
      <w:r w:rsidR="00567D87" w:rsidRPr="00567D87">
        <w:rPr>
          <w:sz w:val="28"/>
          <w:szCs w:val="28"/>
        </w:rPr>
        <w:t>CT</w:t>
      </w:r>
      <w:r w:rsidR="00F60695">
        <w:rPr>
          <w:sz w:val="28"/>
          <w:szCs w:val="28"/>
        </w:rPr>
        <w:t xml:space="preserve"> (</w:t>
      </w:r>
      <w:proofErr w:type="spellStart"/>
      <w:r w:rsidR="008563DF">
        <w:rPr>
          <w:sz w:val="28"/>
          <w:szCs w:val="28"/>
        </w:rPr>
        <w:t>i</w:t>
      </w:r>
      <w:proofErr w:type="spellEnd"/>
      <w:r w:rsidR="00F60695">
        <w:rPr>
          <w:sz w:val="28"/>
          <w:szCs w:val="28"/>
        </w:rPr>
        <w:t>)</w:t>
      </w:r>
      <w:r w:rsidR="00567D87" w:rsidRPr="00567D87">
        <w:rPr>
          <w:sz w:val="28"/>
          <w:szCs w:val="28"/>
        </w:rPr>
        <w:t xml:space="preserve"> </w:t>
      </w:r>
      <w:r w:rsidR="00AD07A3">
        <w:rPr>
          <w:sz w:val="28"/>
          <w:szCs w:val="28"/>
        </w:rPr>
        <w:t xml:space="preserve">or </w:t>
      </w:r>
      <w:r w:rsidR="00976574">
        <w:rPr>
          <w:sz w:val="28"/>
          <w:szCs w:val="28"/>
        </w:rPr>
        <w:t xml:space="preserve">contrast enhanced </w:t>
      </w:r>
      <w:r w:rsidR="00AD07A3">
        <w:rPr>
          <w:sz w:val="28"/>
          <w:szCs w:val="28"/>
        </w:rPr>
        <w:t>MRI</w:t>
      </w:r>
      <w:r w:rsidR="00D7430C">
        <w:rPr>
          <w:sz w:val="28"/>
          <w:szCs w:val="28"/>
        </w:rPr>
        <w:t xml:space="preserve">. Local clinical team preference on individual patient basis accounting for factors such as </w:t>
      </w:r>
      <w:r w:rsidR="00CE65D1">
        <w:rPr>
          <w:sz w:val="28"/>
          <w:szCs w:val="28"/>
        </w:rPr>
        <w:t>age</w:t>
      </w:r>
      <w:r w:rsidR="00D7430C">
        <w:rPr>
          <w:sz w:val="28"/>
          <w:szCs w:val="28"/>
        </w:rPr>
        <w:t xml:space="preserve"> and fitness.</w:t>
      </w:r>
    </w:p>
    <w:p w:rsidR="00567D87" w:rsidRDefault="00822BA9" w:rsidP="003D0D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If imaging is consistent with malignancy consider completing staging with a CT chest,</w:t>
      </w:r>
      <w:r w:rsidR="008D53DD">
        <w:rPr>
          <w:sz w:val="28"/>
          <w:szCs w:val="28"/>
        </w:rPr>
        <w:t xml:space="preserve"> </w:t>
      </w:r>
      <w:r>
        <w:rPr>
          <w:sz w:val="28"/>
          <w:szCs w:val="28"/>
        </w:rPr>
        <w:t>abdomen and pelvis if clinically indicated.</w:t>
      </w:r>
    </w:p>
    <w:p w:rsidR="00CE65D1" w:rsidRPr="00567D87" w:rsidRDefault="00CE65D1" w:rsidP="003D0DF3">
      <w:pPr>
        <w:pStyle w:val="ListParagraph"/>
        <w:jc w:val="both"/>
        <w:rPr>
          <w:sz w:val="28"/>
          <w:szCs w:val="28"/>
        </w:rPr>
      </w:pPr>
    </w:p>
    <w:p w:rsidR="00567D87" w:rsidRPr="00A02D6F" w:rsidRDefault="00567D87" w:rsidP="003D0DF3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02D6F">
        <w:rPr>
          <w:sz w:val="28"/>
          <w:szCs w:val="28"/>
        </w:rPr>
        <w:t xml:space="preserve">CT triple phase liver protocol </w:t>
      </w:r>
      <w:r w:rsidR="00707645" w:rsidRPr="00A02D6F">
        <w:rPr>
          <w:sz w:val="28"/>
          <w:szCs w:val="28"/>
        </w:rPr>
        <w:t xml:space="preserve">now </w:t>
      </w:r>
      <w:r w:rsidRPr="00A02D6F">
        <w:rPr>
          <w:sz w:val="28"/>
          <w:szCs w:val="28"/>
        </w:rPr>
        <w:t>updated to 4 phases.</w:t>
      </w:r>
    </w:p>
    <w:p w:rsidR="00567D87" w:rsidRPr="00567D87" w:rsidRDefault="00567D87" w:rsidP="003D0DF3">
      <w:pPr>
        <w:pStyle w:val="ListParagraph"/>
        <w:ind w:firstLine="720"/>
        <w:jc w:val="both"/>
        <w:rPr>
          <w:sz w:val="28"/>
          <w:szCs w:val="28"/>
        </w:rPr>
      </w:pPr>
      <w:r w:rsidRPr="00567D87">
        <w:rPr>
          <w:sz w:val="28"/>
          <w:szCs w:val="28"/>
        </w:rPr>
        <w:t>Pre</w:t>
      </w:r>
      <w:r w:rsidR="002A7DB4">
        <w:rPr>
          <w:sz w:val="28"/>
          <w:szCs w:val="28"/>
        </w:rPr>
        <w:t>-</w:t>
      </w:r>
      <w:r w:rsidRPr="00567D87">
        <w:rPr>
          <w:sz w:val="28"/>
          <w:szCs w:val="28"/>
        </w:rPr>
        <w:t>contrast, arterial and portal venous phases as previously.</w:t>
      </w:r>
    </w:p>
    <w:p w:rsidR="000A03B6" w:rsidRDefault="00567D87" w:rsidP="003D0DF3">
      <w:pPr>
        <w:pStyle w:val="ListParagraph"/>
        <w:ind w:left="1440"/>
        <w:jc w:val="both"/>
        <w:rPr>
          <w:sz w:val="28"/>
          <w:szCs w:val="28"/>
        </w:rPr>
      </w:pPr>
      <w:r w:rsidRPr="00567D87">
        <w:rPr>
          <w:b/>
          <w:sz w:val="28"/>
          <w:szCs w:val="28"/>
        </w:rPr>
        <w:t>Now recommend a</w:t>
      </w:r>
      <w:r>
        <w:rPr>
          <w:b/>
          <w:sz w:val="28"/>
          <w:szCs w:val="28"/>
        </w:rPr>
        <w:t>n additional</w:t>
      </w:r>
      <w:r w:rsidRPr="00567D87">
        <w:rPr>
          <w:b/>
          <w:sz w:val="28"/>
          <w:szCs w:val="28"/>
        </w:rPr>
        <w:t xml:space="preserve"> delayed scan at 150 seconds to evaluate lesion wash-out</w:t>
      </w:r>
      <w:r w:rsidRPr="00567D87">
        <w:rPr>
          <w:sz w:val="28"/>
          <w:szCs w:val="28"/>
        </w:rPr>
        <w:t>.</w:t>
      </w:r>
    </w:p>
    <w:p w:rsidR="00976574" w:rsidRDefault="00976574" w:rsidP="003D0DF3">
      <w:pPr>
        <w:pStyle w:val="ListParagraph"/>
        <w:jc w:val="both"/>
        <w:rPr>
          <w:sz w:val="28"/>
          <w:szCs w:val="28"/>
        </w:rPr>
      </w:pPr>
    </w:p>
    <w:p w:rsidR="00573635" w:rsidRDefault="00573635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628C8">
        <w:rPr>
          <w:b/>
          <w:sz w:val="28"/>
          <w:szCs w:val="28"/>
          <w:u w:val="single"/>
        </w:rPr>
        <w:t>Liver mass</w:t>
      </w:r>
      <w:r w:rsidR="005D5E01">
        <w:rPr>
          <w:b/>
          <w:sz w:val="28"/>
          <w:szCs w:val="28"/>
          <w:u w:val="single"/>
        </w:rPr>
        <w:t>.</w:t>
      </w:r>
    </w:p>
    <w:p w:rsidR="005D5E01" w:rsidRPr="004628C8" w:rsidRDefault="005D5E01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573635" w:rsidRPr="008B0E2D" w:rsidRDefault="00573635" w:rsidP="003D0DF3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8B0E2D">
        <w:rPr>
          <w:b/>
          <w:sz w:val="28"/>
          <w:szCs w:val="28"/>
          <w:u w:val="single"/>
        </w:rPr>
        <w:t xml:space="preserve">Suspected benign liver lesion incidentally detected by ultrasound with low clinical risk of </w:t>
      </w:r>
      <w:r w:rsidR="00377FDE" w:rsidRPr="008B0E2D">
        <w:rPr>
          <w:b/>
          <w:sz w:val="28"/>
          <w:szCs w:val="28"/>
          <w:u w:val="single"/>
        </w:rPr>
        <w:t>malignancy</w:t>
      </w:r>
    </w:p>
    <w:p w:rsidR="00573635" w:rsidRDefault="00573635" w:rsidP="003D0DF3">
      <w:pPr>
        <w:pStyle w:val="ListParagraph"/>
        <w:jc w:val="both"/>
        <w:rPr>
          <w:b/>
          <w:sz w:val="28"/>
          <w:szCs w:val="28"/>
        </w:rPr>
      </w:pPr>
    </w:p>
    <w:p w:rsidR="00573635" w:rsidRDefault="00573635" w:rsidP="003D0D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6760A">
        <w:rPr>
          <w:sz w:val="28"/>
          <w:szCs w:val="28"/>
        </w:rPr>
        <w:t>n a fit and healthy young adult</w:t>
      </w:r>
      <w:r>
        <w:rPr>
          <w:sz w:val="28"/>
          <w:szCs w:val="28"/>
        </w:rPr>
        <w:t>,</w:t>
      </w:r>
      <w:r w:rsidRPr="0056760A">
        <w:rPr>
          <w:sz w:val="28"/>
          <w:szCs w:val="28"/>
        </w:rPr>
        <w:t xml:space="preserve"> without history of previous malignancy or other significant past medical history</w:t>
      </w:r>
      <w:r>
        <w:rPr>
          <w:sz w:val="28"/>
          <w:szCs w:val="28"/>
        </w:rPr>
        <w:t>,</w:t>
      </w:r>
      <w:r w:rsidRPr="0056760A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E95194">
        <w:rPr>
          <w:sz w:val="28"/>
          <w:szCs w:val="28"/>
        </w:rPr>
        <w:t>ncidental liver lesions</w:t>
      </w:r>
      <w:r>
        <w:rPr>
          <w:sz w:val="28"/>
          <w:szCs w:val="28"/>
        </w:rPr>
        <w:t xml:space="preserve"> are usually </w:t>
      </w:r>
      <w:r w:rsidRPr="0056760A">
        <w:rPr>
          <w:sz w:val="28"/>
          <w:szCs w:val="28"/>
        </w:rPr>
        <w:t xml:space="preserve">benign. </w:t>
      </w:r>
      <w:r w:rsidR="009C1926">
        <w:rPr>
          <w:sz w:val="28"/>
          <w:szCs w:val="28"/>
        </w:rPr>
        <w:t xml:space="preserve">In this situation, </w:t>
      </w:r>
      <w:r w:rsidRPr="0056760A">
        <w:rPr>
          <w:b/>
          <w:sz w:val="28"/>
          <w:szCs w:val="28"/>
        </w:rPr>
        <w:t>MRI liver</w:t>
      </w:r>
      <w:r w:rsidR="009C1926">
        <w:rPr>
          <w:b/>
          <w:sz w:val="28"/>
          <w:szCs w:val="28"/>
        </w:rPr>
        <w:t xml:space="preserve"> </w:t>
      </w:r>
      <w:r w:rsidR="009C1926" w:rsidRPr="0056760A">
        <w:rPr>
          <w:b/>
          <w:sz w:val="28"/>
          <w:szCs w:val="28"/>
        </w:rPr>
        <w:t>performed initially with a standard gadolinium</w:t>
      </w:r>
      <w:r w:rsidR="00D75681">
        <w:rPr>
          <w:b/>
          <w:sz w:val="28"/>
          <w:szCs w:val="28"/>
        </w:rPr>
        <w:t xml:space="preserve"> agent</w:t>
      </w:r>
      <w:r w:rsidR="009C1926" w:rsidRPr="0056760A">
        <w:rPr>
          <w:b/>
          <w:sz w:val="28"/>
          <w:szCs w:val="28"/>
        </w:rPr>
        <w:t xml:space="preserve"> </w:t>
      </w:r>
      <w:r w:rsidRPr="0056760A">
        <w:rPr>
          <w:b/>
          <w:sz w:val="28"/>
          <w:szCs w:val="28"/>
        </w:rPr>
        <w:t>should</w:t>
      </w:r>
      <w:r w:rsidR="009C1926">
        <w:rPr>
          <w:b/>
          <w:sz w:val="28"/>
          <w:szCs w:val="28"/>
        </w:rPr>
        <w:t xml:space="preserve"> </w:t>
      </w:r>
      <w:r w:rsidR="009C1926" w:rsidRPr="00E72335">
        <w:rPr>
          <w:b/>
          <w:sz w:val="28"/>
          <w:szCs w:val="28"/>
        </w:rPr>
        <w:t>be</w:t>
      </w:r>
      <w:r w:rsidRPr="00E72335">
        <w:rPr>
          <w:b/>
          <w:sz w:val="28"/>
          <w:szCs w:val="28"/>
        </w:rPr>
        <w:t xml:space="preserve"> </w:t>
      </w:r>
      <w:r w:rsidR="009C1926" w:rsidRPr="00E72335">
        <w:rPr>
          <w:b/>
          <w:sz w:val="28"/>
          <w:szCs w:val="28"/>
        </w:rPr>
        <w:t xml:space="preserve">the next imaging investigation of </w:t>
      </w:r>
      <w:r w:rsidR="00D75681">
        <w:rPr>
          <w:b/>
          <w:sz w:val="28"/>
          <w:szCs w:val="28"/>
        </w:rPr>
        <w:t>choice</w:t>
      </w:r>
      <w:r w:rsidRPr="00E72335">
        <w:rPr>
          <w:b/>
          <w:sz w:val="28"/>
          <w:szCs w:val="28"/>
        </w:rPr>
        <w:t xml:space="preserve"> rather than CT</w:t>
      </w:r>
      <w:r w:rsidR="009C1926" w:rsidRPr="00E72335">
        <w:rPr>
          <w:b/>
          <w:sz w:val="28"/>
          <w:szCs w:val="28"/>
        </w:rPr>
        <w:t>.</w:t>
      </w:r>
      <w:r w:rsidRPr="0056760A">
        <w:rPr>
          <w:sz w:val="28"/>
          <w:szCs w:val="28"/>
        </w:rPr>
        <w:t xml:space="preserve"> </w:t>
      </w:r>
      <w:r w:rsidR="00100136">
        <w:rPr>
          <w:sz w:val="28"/>
          <w:szCs w:val="28"/>
        </w:rPr>
        <w:t>If</w:t>
      </w:r>
      <w:r w:rsidR="00E251A8">
        <w:rPr>
          <w:sz w:val="28"/>
          <w:szCs w:val="28"/>
        </w:rPr>
        <w:t xml:space="preserve"> initial MRI</w:t>
      </w:r>
      <w:r w:rsidR="00100136">
        <w:rPr>
          <w:sz w:val="28"/>
          <w:szCs w:val="28"/>
        </w:rPr>
        <w:t xml:space="preserve"> imaging is </w:t>
      </w:r>
      <w:r w:rsidR="00E26839">
        <w:rPr>
          <w:sz w:val="28"/>
          <w:szCs w:val="28"/>
        </w:rPr>
        <w:t>consistent with</w:t>
      </w:r>
      <w:r w:rsidR="00100136">
        <w:rPr>
          <w:sz w:val="28"/>
          <w:szCs w:val="28"/>
        </w:rPr>
        <w:t xml:space="preserve"> hepatic adenoma or focal nodular hyperplasia and depending on available local MRI expertise, consider further lesion characterisation with a </w:t>
      </w:r>
      <w:r w:rsidR="00260D38">
        <w:rPr>
          <w:sz w:val="28"/>
          <w:szCs w:val="28"/>
        </w:rPr>
        <w:t xml:space="preserve">liver-specific gadolinium </w:t>
      </w:r>
      <w:r w:rsidR="00100136">
        <w:rPr>
          <w:sz w:val="28"/>
          <w:szCs w:val="28"/>
        </w:rPr>
        <w:t>cont</w:t>
      </w:r>
      <w:r w:rsidR="00260D38">
        <w:rPr>
          <w:sz w:val="28"/>
          <w:szCs w:val="28"/>
        </w:rPr>
        <w:t xml:space="preserve">rast agent such as </w:t>
      </w:r>
      <w:proofErr w:type="spellStart"/>
      <w:r w:rsidR="00260D38">
        <w:rPr>
          <w:sz w:val="28"/>
          <w:szCs w:val="28"/>
        </w:rPr>
        <w:t>P</w:t>
      </w:r>
      <w:r w:rsidR="00100136">
        <w:rPr>
          <w:sz w:val="28"/>
          <w:szCs w:val="28"/>
        </w:rPr>
        <w:t>rimovist</w:t>
      </w:r>
      <w:proofErr w:type="spellEnd"/>
      <w:r w:rsidR="00100136">
        <w:rPr>
          <w:sz w:val="28"/>
          <w:szCs w:val="28"/>
        </w:rPr>
        <w:t>.</w:t>
      </w:r>
    </w:p>
    <w:p w:rsidR="00573635" w:rsidRDefault="00573635" w:rsidP="003D0DF3">
      <w:pPr>
        <w:pStyle w:val="ListParagraph"/>
        <w:jc w:val="both"/>
        <w:rPr>
          <w:sz w:val="28"/>
          <w:szCs w:val="28"/>
        </w:rPr>
      </w:pPr>
    </w:p>
    <w:p w:rsidR="00573635" w:rsidRDefault="00573635" w:rsidP="003D0DF3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2F2213">
        <w:rPr>
          <w:b/>
          <w:sz w:val="28"/>
          <w:szCs w:val="28"/>
          <w:u w:val="single"/>
        </w:rPr>
        <w:t>Liver</w:t>
      </w:r>
      <w:r>
        <w:rPr>
          <w:b/>
          <w:sz w:val="28"/>
          <w:szCs w:val="28"/>
          <w:u w:val="single"/>
        </w:rPr>
        <w:t xml:space="preserve"> mass</w:t>
      </w:r>
      <w:r w:rsidRPr="002F2213">
        <w:rPr>
          <w:b/>
          <w:sz w:val="28"/>
          <w:szCs w:val="28"/>
          <w:u w:val="single"/>
        </w:rPr>
        <w:t xml:space="preserve"> lesion </w:t>
      </w:r>
      <w:r>
        <w:rPr>
          <w:b/>
          <w:sz w:val="28"/>
          <w:szCs w:val="28"/>
          <w:u w:val="single"/>
        </w:rPr>
        <w:t xml:space="preserve">with clinical or radiological suspicion of </w:t>
      </w:r>
      <w:r w:rsidR="00337E06">
        <w:rPr>
          <w:b/>
          <w:sz w:val="28"/>
          <w:szCs w:val="28"/>
          <w:u w:val="single"/>
        </w:rPr>
        <w:t>malignancy</w:t>
      </w:r>
    </w:p>
    <w:p w:rsidR="00573635" w:rsidRDefault="00573635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573635" w:rsidRDefault="007B1551" w:rsidP="003D0D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73635" w:rsidRPr="00B302ED">
        <w:rPr>
          <w:b/>
          <w:sz w:val="28"/>
          <w:szCs w:val="28"/>
        </w:rPr>
        <w:t>CT chest, abdomen and pelvis</w:t>
      </w:r>
      <w:r w:rsidR="00573635" w:rsidRPr="002F2213">
        <w:rPr>
          <w:sz w:val="28"/>
          <w:szCs w:val="28"/>
        </w:rPr>
        <w:t xml:space="preserve"> </w:t>
      </w:r>
      <w:r>
        <w:rPr>
          <w:sz w:val="28"/>
          <w:szCs w:val="28"/>
        </w:rPr>
        <w:t>examination including a</w:t>
      </w:r>
      <w:r w:rsidRPr="002F2213">
        <w:rPr>
          <w:sz w:val="28"/>
          <w:szCs w:val="28"/>
        </w:rPr>
        <w:t xml:space="preserve"> </w:t>
      </w:r>
      <w:r w:rsidR="008A63EF" w:rsidRPr="008A63EF">
        <w:rPr>
          <w:b/>
          <w:sz w:val="28"/>
          <w:szCs w:val="28"/>
        </w:rPr>
        <w:t>four</w:t>
      </w:r>
      <w:r w:rsidRPr="008A63EF">
        <w:rPr>
          <w:b/>
          <w:sz w:val="28"/>
          <w:szCs w:val="28"/>
        </w:rPr>
        <w:t xml:space="preserve"> </w:t>
      </w:r>
      <w:r w:rsidRPr="00B302ED">
        <w:rPr>
          <w:b/>
          <w:sz w:val="28"/>
          <w:szCs w:val="28"/>
        </w:rPr>
        <w:t xml:space="preserve">phase </w:t>
      </w:r>
      <w:r>
        <w:rPr>
          <w:b/>
          <w:sz w:val="28"/>
          <w:szCs w:val="28"/>
        </w:rPr>
        <w:t xml:space="preserve">CT </w:t>
      </w:r>
      <w:r w:rsidRPr="00B302ED">
        <w:rPr>
          <w:b/>
          <w:sz w:val="28"/>
          <w:szCs w:val="28"/>
        </w:rPr>
        <w:t>liver examination</w:t>
      </w:r>
      <w:r w:rsidRPr="002F2213">
        <w:rPr>
          <w:sz w:val="28"/>
          <w:szCs w:val="28"/>
        </w:rPr>
        <w:t xml:space="preserve"> </w:t>
      </w:r>
      <w:r w:rsidR="008A63EF">
        <w:rPr>
          <w:sz w:val="28"/>
          <w:szCs w:val="28"/>
        </w:rPr>
        <w:t xml:space="preserve">(as for HCC) </w:t>
      </w:r>
      <w:r w:rsidR="00B63170">
        <w:rPr>
          <w:sz w:val="28"/>
          <w:szCs w:val="28"/>
        </w:rPr>
        <w:t>is</w:t>
      </w:r>
      <w:r>
        <w:rPr>
          <w:sz w:val="28"/>
          <w:szCs w:val="28"/>
        </w:rPr>
        <w:t xml:space="preserve"> indicated to </w:t>
      </w:r>
      <w:r w:rsidRPr="002F2213">
        <w:rPr>
          <w:sz w:val="28"/>
          <w:szCs w:val="28"/>
        </w:rPr>
        <w:t>characterise the liver lesion</w:t>
      </w:r>
      <w:r>
        <w:rPr>
          <w:sz w:val="28"/>
          <w:szCs w:val="28"/>
        </w:rPr>
        <w:t>, complete staging</w:t>
      </w:r>
      <w:r w:rsidR="00573635" w:rsidRPr="002F2213">
        <w:rPr>
          <w:sz w:val="28"/>
          <w:szCs w:val="28"/>
        </w:rPr>
        <w:t xml:space="preserve"> and help determine if the liver lesion is a metastatic deposit or a primary liver tumour.</w:t>
      </w:r>
    </w:p>
    <w:p w:rsidR="00E47DDA" w:rsidRDefault="00E47DDA" w:rsidP="003D0DF3">
      <w:pPr>
        <w:pStyle w:val="ListParagraph"/>
        <w:jc w:val="both"/>
        <w:rPr>
          <w:sz w:val="28"/>
          <w:szCs w:val="28"/>
        </w:rPr>
      </w:pPr>
    </w:p>
    <w:p w:rsidR="00BC7F74" w:rsidRDefault="00BC7F74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Liver metastases including c</w:t>
      </w:r>
      <w:r w:rsidRPr="00C91DC1">
        <w:rPr>
          <w:b/>
          <w:sz w:val="28"/>
          <w:szCs w:val="28"/>
          <w:u w:val="single"/>
        </w:rPr>
        <w:t>olorectal cancer</w:t>
      </w:r>
    </w:p>
    <w:p w:rsidR="00BC7F74" w:rsidRDefault="00BC7F74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BC7F74" w:rsidRDefault="00BC7F74" w:rsidP="003D0DF3">
      <w:pPr>
        <w:pStyle w:val="ListParagraph"/>
        <w:jc w:val="both"/>
        <w:rPr>
          <w:b/>
          <w:sz w:val="28"/>
          <w:szCs w:val="28"/>
        </w:rPr>
      </w:pPr>
      <w:r w:rsidRPr="00C91DC1">
        <w:rPr>
          <w:b/>
          <w:sz w:val="28"/>
          <w:szCs w:val="28"/>
        </w:rPr>
        <w:t>CT chest, abdomen and pelvis</w:t>
      </w:r>
      <w:r>
        <w:rPr>
          <w:b/>
          <w:sz w:val="28"/>
          <w:szCs w:val="28"/>
        </w:rPr>
        <w:t>.</w:t>
      </w:r>
    </w:p>
    <w:p w:rsidR="00185A05" w:rsidRDefault="00185A05" w:rsidP="003D0DF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Consider triple phase C</w:t>
      </w:r>
      <w:r w:rsidR="00FD7EF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liver if kno</w:t>
      </w:r>
      <w:r w:rsidR="009B0B36">
        <w:rPr>
          <w:b/>
          <w:sz w:val="28"/>
          <w:szCs w:val="28"/>
        </w:rPr>
        <w:t xml:space="preserve">wn </w:t>
      </w:r>
      <w:proofErr w:type="spellStart"/>
      <w:r w:rsidR="009B0B36">
        <w:rPr>
          <w:b/>
          <w:sz w:val="28"/>
          <w:szCs w:val="28"/>
        </w:rPr>
        <w:t>hypervascular</w:t>
      </w:r>
      <w:proofErr w:type="spellEnd"/>
      <w:r w:rsidR="009B0B36">
        <w:rPr>
          <w:b/>
          <w:sz w:val="28"/>
          <w:szCs w:val="28"/>
        </w:rPr>
        <w:t xml:space="preserve"> primary tumour.</w:t>
      </w:r>
    </w:p>
    <w:p w:rsidR="00BC7F74" w:rsidRDefault="00BC7F74" w:rsidP="003D0DF3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Baseline MRI liver </w:t>
      </w:r>
      <w:r w:rsidR="009A0DD4">
        <w:rPr>
          <w:b/>
          <w:sz w:val="28"/>
          <w:szCs w:val="28"/>
        </w:rPr>
        <w:t xml:space="preserve">also recommended </w:t>
      </w:r>
      <w:r w:rsidRPr="001D78CD">
        <w:rPr>
          <w:sz w:val="28"/>
          <w:szCs w:val="28"/>
        </w:rPr>
        <w:t>when liver metastases present</w:t>
      </w:r>
      <w:r w:rsidR="003D62FF">
        <w:rPr>
          <w:sz w:val="28"/>
          <w:szCs w:val="28"/>
        </w:rPr>
        <w:t xml:space="preserve"> if</w:t>
      </w:r>
      <w:r w:rsidRPr="001D78CD">
        <w:rPr>
          <w:sz w:val="28"/>
          <w:szCs w:val="28"/>
        </w:rPr>
        <w:t xml:space="preserve"> patient is a candidate for </w:t>
      </w:r>
      <w:r w:rsidR="006A0CEE">
        <w:rPr>
          <w:sz w:val="28"/>
          <w:szCs w:val="28"/>
        </w:rPr>
        <w:t xml:space="preserve">liver </w:t>
      </w:r>
      <w:r w:rsidRPr="001D78CD">
        <w:rPr>
          <w:sz w:val="28"/>
          <w:szCs w:val="28"/>
        </w:rPr>
        <w:t>resection, chemotherapy or local therapy.</w:t>
      </w:r>
      <w:r w:rsidR="00DE71B6">
        <w:rPr>
          <w:sz w:val="28"/>
          <w:szCs w:val="28"/>
        </w:rPr>
        <w:t xml:space="preserve"> </w:t>
      </w:r>
      <w:r w:rsidRPr="001D78CD">
        <w:rPr>
          <w:sz w:val="28"/>
          <w:szCs w:val="28"/>
        </w:rPr>
        <w:t xml:space="preserve">We use gadolinium rather than </w:t>
      </w:r>
      <w:proofErr w:type="spellStart"/>
      <w:r w:rsidRPr="001D78CD">
        <w:rPr>
          <w:sz w:val="28"/>
          <w:szCs w:val="28"/>
        </w:rPr>
        <w:t>Primovist</w:t>
      </w:r>
      <w:proofErr w:type="spellEnd"/>
      <w:r w:rsidRPr="001D78CD">
        <w:rPr>
          <w:sz w:val="28"/>
          <w:szCs w:val="28"/>
        </w:rPr>
        <w:t xml:space="preserve"> for initial scan in colorectal cancer patients but follow-up examinations performed with </w:t>
      </w:r>
      <w:proofErr w:type="spellStart"/>
      <w:r w:rsidRPr="001D78CD">
        <w:rPr>
          <w:sz w:val="28"/>
          <w:szCs w:val="28"/>
        </w:rPr>
        <w:t>Primovist</w:t>
      </w:r>
      <w:proofErr w:type="spellEnd"/>
    </w:p>
    <w:p w:rsidR="00787148" w:rsidRPr="001D78CD" w:rsidRDefault="00787148" w:rsidP="003D0DF3">
      <w:pPr>
        <w:pStyle w:val="ListParagraph"/>
        <w:jc w:val="both"/>
        <w:rPr>
          <w:sz w:val="28"/>
          <w:szCs w:val="28"/>
        </w:rPr>
      </w:pPr>
    </w:p>
    <w:p w:rsidR="000A03B6" w:rsidRDefault="00346571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Hilar biliary obstruction including</w:t>
      </w:r>
      <w:r w:rsidR="00236339">
        <w:rPr>
          <w:b/>
          <w:sz w:val="28"/>
          <w:szCs w:val="28"/>
          <w:u w:val="single"/>
        </w:rPr>
        <w:t xml:space="preserve"> suspected</w:t>
      </w:r>
      <w:r>
        <w:rPr>
          <w:b/>
          <w:sz w:val="28"/>
          <w:szCs w:val="28"/>
          <w:u w:val="single"/>
        </w:rPr>
        <w:t xml:space="preserve"> </w:t>
      </w:r>
      <w:r w:rsidR="00767CC4" w:rsidRPr="000A03B6">
        <w:rPr>
          <w:b/>
          <w:sz w:val="28"/>
          <w:szCs w:val="28"/>
          <w:u w:val="single"/>
        </w:rPr>
        <w:t>Chola</w:t>
      </w:r>
      <w:r w:rsidR="00767CC4">
        <w:rPr>
          <w:b/>
          <w:sz w:val="28"/>
          <w:szCs w:val="28"/>
          <w:u w:val="single"/>
        </w:rPr>
        <w:t>n</w:t>
      </w:r>
      <w:r w:rsidR="00767CC4" w:rsidRPr="000A03B6">
        <w:rPr>
          <w:b/>
          <w:sz w:val="28"/>
          <w:szCs w:val="28"/>
          <w:u w:val="single"/>
        </w:rPr>
        <w:t>giocarcinoma</w:t>
      </w:r>
    </w:p>
    <w:p w:rsidR="00E8198C" w:rsidRDefault="00E8198C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E8198C" w:rsidRPr="00696084" w:rsidRDefault="00E8198C" w:rsidP="003D0DF3">
      <w:pPr>
        <w:pStyle w:val="ListParagraph"/>
        <w:jc w:val="both"/>
        <w:rPr>
          <w:b/>
          <w:sz w:val="28"/>
          <w:szCs w:val="28"/>
        </w:rPr>
      </w:pPr>
      <w:r w:rsidRPr="00696084">
        <w:rPr>
          <w:b/>
          <w:sz w:val="28"/>
          <w:szCs w:val="28"/>
        </w:rPr>
        <w:t>CT staging crucial before stenting</w:t>
      </w:r>
    </w:p>
    <w:p w:rsidR="00E8198C" w:rsidRPr="00696084" w:rsidRDefault="00E8198C" w:rsidP="003D0DF3">
      <w:pPr>
        <w:pStyle w:val="ListParagraph"/>
        <w:jc w:val="both"/>
        <w:rPr>
          <w:b/>
          <w:sz w:val="28"/>
          <w:szCs w:val="28"/>
        </w:rPr>
      </w:pPr>
      <w:r w:rsidRPr="00696084">
        <w:rPr>
          <w:b/>
          <w:sz w:val="28"/>
          <w:szCs w:val="28"/>
        </w:rPr>
        <w:t>Optimise scan using modern CT scanner without excessive dose reduction.</w:t>
      </w:r>
    </w:p>
    <w:p w:rsidR="00E8198C" w:rsidRDefault="00E8198C" w:rsidP="003D0DF3">
      <w:pPr>
        <w:pStyle w:val="ListParagraph"/>
        <w:jc w:val="both"/>
        <w:rPr>
          <w:sz w:val="28"/>
          <w:szCs w:val="28"/>
        </w:rPr>
      </w:pPr>
      <w:r w:rsidRPr="00696084">
        <w:rPr>
          <w:b/>
          <w:sz w:val="28"/>
          <w:szCs w:val="28"/>
        </w:rPr>
        <w:t xml:space="preserve">Triple phase CT liver and pancreas: pre, arterial and portal venous phases. </w:t>
      </w:r>
      <w:r>
        <w:rPr>
          <w:sz w:val="28"/>
          <w:szCs w:val="28"/>
        </w:rPr>
        <w:t xml:space="preserve">Arterial imaging reconstructed at 1mm and 3mm </w:t>
      </w:r>
      <w:r w:rsidR="008F68D0">
        <w:rPr>
          <w:sz w:val="28"/>
          <w:szCs w:val="28"/>
        </w:rPr>
        <w:t xml:space="preserve">with </w:t>
      </w:r>
      <w:r>
        <w:rPr>
          <w:sz w:val="28"/>
          <w:szCs w:val="28"/>
        </w:rPr>
        <w:t>axial and coronal reconstructions</w:t>
      </w:r>
      <w:r w:rsidR="00696084">
        <w:rPr>
          <w:sz w:val="28"/>
          <w:szCs w:val="28"/>
        </w:rPr>
        <w:t xml:space="preserve"> to assess arterial </w:t>
      </w:r>
      <w:r w:rsidR="003E760C">
        <w:rPr>
          <w:sz w:val="28"/>
          <w:szCs w:val="28"/>
        </w:rPr>
        <w:t>anatomy</w:t>
      </w:r>
      <w:r w:rsidR="00807E2C">
        <w:rPr>
          <w:sz w:val="28"/>
          <w:szCs w:val="28"/>
        </w:rPr>
        <w:t>.</w:t>
      </w:r>
    </w:p>
    <w:p w:rsidR="00E8198C" w:rsidRDefault="00E8198C" w:rsidP="003D0D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Delayed phase may also be useful but not compulsory</w:t>
      </w:r>
    </w:p>
    <w:p w:rsidR="00572BA1" w:rsidRDefault="00572BA1" w:rsidP="003D0DF3">
      <w:pPr>
        <w:pStyle w:val="ListParagraph"/>
        <w:jc w:val="both"/>
        <w:rPr>
          <w:sz w:val="28"/>
          <w:szCs w:val="28"/>
        </w:rPr>
      </w:pPr>
    </w:p>
    <w:p w:rsidR="00B655B7" w:rsidRDefault="00B655B7" w:rsidP="003D0DF3">
      <w:pPr>
        <w:pStyle w:val="ListParagraph"/>
        <w:jc w:val="both"/>
        <w:rPr>
          <w:sz w:val="28"/>
          <w:szCs w:val="28"/>
        </w:rPr>
      </w:pPr>
      <w:r w:rsidRPr="008F0333">
        <w:rPr>
          <w:b/>
          <w:sz w:val="28"/>
          <w:szCs w:val="28"/>
        </w:rPr>
        <w:t xml:space="preserve">Consider </w:t>
      </w:r>
      <w:r w:rsidR="00C05C6D" w:rsidRPr="008F0333">
        <w:rPr>
          <w:b/>
          <w:sz w:val="28"/>
          <w:szCs w:val="28"/>
        </w:rPr>
        <w:t xml:space="preserve">additional </w:t>
      </w:r>
      <w:r w:rsidRPr="008F0333">
        <w:rPr>
          <w:b/>
          <w:sz w:val="28"/>
          <w:szCs w:val="28"/>
        </w:rPr>
        <w:t>MRCP</w:t>
      </w:r>
      <w:r>
        <w:rPr>
          <w:sz w:val="28"/>
          <w:szCs w:val="28"/>
        </w:rPr>
        <w:t xml:space="preserve"> to evaluate the </w:t>
      </w:r>
      <w:r w:rsidR="001401D7">
        <w:rPr>
          <w:sz w:val="28"/>
          <w:szCs w:val="28"/>
        </w:rPr>
        <w:t>extent</w:t>
      </w:r>
      <w:r>
        <w:rPr>
          <w:sz w:val="28"/>
          <w:szCs w:val="28"/>
        </w:rPr>
        <w:t xml:space="preserve"> of ductal involvement and to guide interventional drainage procedures.</w:t>
      </w:r>
    </w:p>
    <w:p w:rsidR="00082868" w:rsidRDefault="00082868" w:rsidP="003D0DF3">
      <w:pPr>
        <w:pStyle w:val="ListParagraph"/>
        <w:jc w:val="both"/>
        <w:rPr>
          <w:sz w:val="28"/>
          <w:szCs w:val="28"/>
        </w:rPr>
      </w:pPr>
    </w:p>
    <w:p w:rsidR="000D42F5" w:rsidRPr="001B4F1C" w:rsidRDefault="000D42F5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B4F1C">
        <w:rPr>
          <w:b/>
          <w:sz w:val="28"/>
          <w:szCs w:val="28"/>
          <w:u w:val="single"/>
        </w:rPr>
        <w:t xml:space="preserve">Gallbladder mass </w:t>
      </w:r>
      <w:r>
        <w:rPr>
          <w:b/>
          <w:sz w:val="28"/>
          <w:szCs w:val="28"/>
          <w:u w:val="single"/>
        </w:rPr>
        <w:t>including</w:t>
      </w:r>
      <w:r w:rsidRPr="001B4F1C">
        <w:rPr>
          <w:b/>
          <w:sz w:val="28"/>
          <w:szCs w:val="28"/>
          <w:u w:val="single"/>
        </w:rPr>
        <w:t xml:space="preserve"> suspected gallbladder malignancy</w:t>
      </w:r>
      <w:r>
        <w:rPr>
          <w:b/>
          <w:sz w:val="28"/>
          <w:szCs w:val="28"/>
          <w:u w:val="single"/>
        </w:rPr>
        <w:t xml:space="preserve"> detected on abdominal ultrasound</w:t>
      </w:r>
      <w:r w:rsidRPr="001B4F1C">
        <w:rPr>
          <w:b/>
          <w:sz w:val="28"/>
          <w:szCs w:val="28"/>
          <w:u w:val="single"/>
        </w:rPr>
        <w:t>.</w:t>
      </w:r>
    </w:p>
    <w:p w:rsidR="000D42F5" w:rsidRDefault="000D42F5" w:rsidP="003D0DF3">
      <w:pPr>
        <w:pStyle w:val="ListParagraph"/>
        <w:jc w:val="both"/>
        <w:rPr>
          <w:b/>
          <w:sz w:val="28"/>
          <w:szCs w:val="28"/>
        </w:rPr>
      </w:pPr>
    </w:p>
    <w:p w:rsidR="000D42F5" w:rsidRDefault="000D42F5" w:rsidP="003D0DF3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Suspected benign gallbladder mass particularly in a younger patient, MRCP and contrast enhanced MRI liver recommended initially.</w:t>
      </w:r>
    </w:p>
    <w:p w:rsidR="000D42F5" w:rsidRDefault="000D42F5" w:rsidP="003D0DF3">
      <w:pPr>
        <w:pStyle w:val="ListParagraph"/>
        <w:jc w:val="both"/>
        <w:rPr>
          <w:b/>
          <w:sz w:val="28"/>
          <w:szCs w:val="28"/>
        </w:rPr>
      </w:pPr>
    </w:p>
    <w:p w:rsidR="002201A6" w:rsidRDefault="000D42F5" w:rsidP="003D0DF3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262C0">
        <w:rPr>
          <w:b/>
          <w:sz w:val="28"/>
          <w:szCs w:val="28"/>
        </w:rPr>
        <w:t>In suspected malignant gallbladder mass, a triple phase CT examination of the liver</w:t>
      </w:r>
      <w:r w:rsidR="00BA5C5D" w:rsidRPr="005262C0">
        <w:rPr>
          <w:b/>
          <w:sz w:val="28"/>
          <w:szCs w:val="28"/>
        </w:rPr>
        <w:t xml:space="preserve"> a</w:t>
      </w:r>
      <w:r w:rsidRPr="005262C0">
        <w:rPr>
          <w:b/>
          <w:sz w:val="28"/>
          <w:szCs w:val="28"/>
        </w:rPr>
        <w:t>nd</w:t>
      </w:r>
      <w:r w:rsidR="00F272AD" w:rsidRPr="005262C0">
        <w:rPr>
          <w:b/>
          <w:sz w:val="28"/>
          <w:szCs w:val="28"/>
        </w:rPr>
        <w:t xml:space="preserve"> gallbladder to establish diagnosis. </w:t>
      </w:r>
      <w:r w:rsidRPr="005262C0">
        <w:rPr>
          <w:b/>
          <w:sz w:val="28"/>
          <w:szCs w:val="28"/>
        </w:rPr>
        <w:t xml:space="preserve"> CT Thorax, abdomen and pelvis should</w:t>
      </w:r>
      <w:r w:rsidR="00E50E1D">
        <w:rPr>
          <w:b/>
          <w:sz w:val="28"/>
          <w:szCs w:val="28"/>
        </w:rPr>
        <w:t xml:space="preserve"> also</w:t>
      </w:r>
      <w:r w:rsidRPr="005262C0">
        <w:rPr>
          <w:b/>
          <w:sz w:val="28"/>
          <w:szCs w:val="28"/>
        </w:rPr>
        <w:t xml:space="preserve"> be performed to </w:t>
      </w:r>
      <w:r w:rsidR="00F272AD" w:rsidRPr="005262C0">
        <w:rPr>
          <w:b/>
          <w:sz w:val="28"/>
          <w:szCs w:val="28"/>
        </w:rPr>
        <w:t>detect</w:t>
      </w:r>
      <w:r w:rsidRPr="005262C0">
        <w:rPr>
          <w:b/>
          <w:sz w:val="28"/>
          <w:szCs w:val="28"/>
        </w:rPr>
        <w:t xml:space="preserve"> metastatic disease</w:t>
      </w:r>
      <w:r w:rsidR="00CB0991" w:rsidRPr="005262C0">
        <w:rPr>
          <w:b/>
          <w:sz w:val="28"/>
          <w:szCs w:val="28"/>
        </w:rPr>
        <w:t xml:space="preserve"> if clinically indicated</w:t>
      </w:r>
      <w:r w:rsidRPr="00202AF9">
        <w:rPr>
          <w:b/>
          <w:sz w:val="28"/>
          <w:szCs w:val="28"/>
        </w:rPr>
        <w:t>.</w:t>
      </w:r>
      <w:r w:rsidRPr="00202AF9">
        <w:rPr>
          <w:sz w:val="28"/>
          <w:szCs w:val="28"/>
        </w:rPr>
        <w:t xml:space="preserve"> </w:t>
      </w:r>
    </w:p>
    <w:p w:rsidR="000D42F5" w:rsidRPr="00202AF9" w:rsidRDefault="000D42F5" w:rsidP="003D0DF3">
      <w:pPr>
        <w:pStyle w:val="ListParagraph"/>
        <w:jc w:val="both"/>
        <w:rPr>
          <w:sz w:val="28"/>
          <w:szCs w:val="28"/>
        </w:rPr>
      </w:pPr>
      <w:r w:rsidRPr="00202AF9">
        <w:rPr>
          <w:sz w:val="28"/>
          <w:szCs w:val="28"/>
        </w:rPr>
        <w:t>A pre contrast examination is essential to</w:t>
      </w:r>
      <w:r w:rsidR="00EB679E">
        <w:rPr>
          <w:sz w:val="28"/>
          <w:szCs w:val="28"/>
        </w:rPr>
        <w:t xml:space="preserve"> differentiate</w:t>
      </w:r>
      <w:r w:rsidRPr="00202AF9">
        <w:rPr>
          <w:sz w:val="28"/>
          <w:szCs w:val="28"/>
        </w:rPr>
        <w:t xml:space="preserve"> an enhancing gallbladder lesion</w:t>
      </w:r>
      <w:r w:rsidR="00EB679E">
        <w:rPr>
          <w:sz w:val="28"/>
          <w:szCs w:val="28"/>
        </w:rPr>
        <w:t xml:space="preserve"> from biliary sludge or calculi</w:t>
      </w:r>
      <w:r w:rsidRPr="00202AF9">
        <w:rPr>
          <w:sz w:val="28"/>
          <w:szCs w:val="28"/>
        </w:rPr>
        <w:t>.</w:t>
      </w:r>
    </w:p>
    <w:p w:rsidR="000D42F5" w:rsidRPr="00202AF9" w:rsidRDefault="000D42F5" w:rsidP="003D0DF3">
      <w:pPr>
        <w:pStyle w:val="ListParagraph"/>
        <w:jc w:val="both"/>
        <w:rPr>
          <w:sz w:val="28"/>
          <w:szCs w:val="28"/>
        </w:rPr>
      </w:pPr>
      <w:r w:rsidRPr="00202AF9">
        <w:rPr>
          <w:sz w:val="28"/>
          <w:szCs w:val="28"/>
        </w:rPr>
        <w:t>In potentially operable cases</w:t>
      </w:r>
      <w:r w:rsidR="006832FB">
        <w:rPr>
          <w:sz w:val="28"/>
          <w:szCs w:val="28"/>
        </w:rPr>
        <w:t xml:space="preserve"> consider</w:t>
      </w:r>
      <w:r w:rsidRPr="00202AF9">
        <w:rPr>
          <w:sz w:val="28"/>
          <w:szCs w:val="28"/>
        </w:rPr>
        <w:t xml:space="preserve"> MRCP and contrast enhanced MRI liver following CT.</w:t>
      </w:r>
    </w:p>
    <w:p w:rsidR="007E58F9" w:rsidRDefault="007E58F9" w:rsidP="003D0DF3">
      <w:pPr>
        <w:pStyle w:val="ListParagraph"/>
        <w:jc w:val="both"/>
        <w:rPr>
          <w:b/>
          <w:sz w:val="28"/>
          <w:szCs w:val="28"/>
        </w:rPr>
      </w:pPr>
    </w:p>
    <w:p w:rsidR="00A638AF" w:rsidRDefault="007E58F9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37493">
        <w:rPr>
          <w:b/>
          <w:sz w:val="28"/>
          <w:szCs w:val="28"/>
          <w:u w:val="single"/>
        </w:rPr>
        <w:t>Acute pancreatitis</w:t>
      </w:r>
    </w:p>
    <w:p w:rsidR="00237493" w:rsidRPr="00237493" w:rsidRDefault="00237493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A638AF" w:rsidRPr="00844A76" w:rsidRDefault="00A638AF" w:rsidP="003D0DF3">
      <w:pPr>
        <w:pStyle w:val="ListParagraph"/>
        <w:jc w:val="both"/>
        <w:rPr>
          <w:sz w:val="28"/>
          <w:szCs w:val="28"/>
        </w:rPr>
      </w:pPr>
      <w:r w:rsidRPr="00844A76">
        <w:rPr>
          <w:b/>
          <w:sz w:val="28"/>
          <w:szCs w:val="28"/>
        </w:rPr>
        <w:t>Ultrasound of the upper abdomen</w:t>
      </w:r>
      <w:r w:rsidRPr="00844A76">
        <w:rPr>
          <w:sz w:val="28"/>
          <w:szCs w:val="28"/>
        </w:rPr>
        <w:t xml:space="preserve"> </w:t>
      </w:r>
      <w:r w:rsidR="00C153B9">
        <w:rPr>
          <w:sz w:val="28"/>
          <w:szCs w:val="28"/>
        </w:rPr>
        <w:t>should be the initial investigation of the biliary system.</w:t>
      </w:r>
    </w:p>
    <w:p w:rsidR="00D10E53" w:rsidRPr="00844A76" w:rsidRDefault="00D10E53" w:rsidP="003D0DF3">
      <w:pPr>
        <w:pStyle w:val="ListParagraph"/>
        <w:jc w:val="both"/>
        <w:rPr>
          <w:sz w:val="28"/>
          <w:szCs w:val="28"/>
        </w:rPr>
      </w:pPr>
    </w:p>
    <w:p w:rsidR="00B37FC6" w:rsidRDefault="00B10760" w:rsidP="003D0DF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10E53" w:rsidRPr="00844A76">
        <w:rPr>
          <w:b/>
          <w:sz w:val="28"/>
          <w:szCs w:val="28"/>
        </w:rPr>
        <w:t xml:space="preserve">nitial </w:t>
      </w:r>
      <w:r w:rsidR="001B7DF8" w:rsidRPr="00844A76">
        <w:rPr>
          <w:b/>
          <w:sz w:val="28"/>
          <w:szCs w:val="28"/>
        </w:rPr>
        <w:t xml:space="preserve">CT </w:t>
      </w:r>
      <w:r w:rsidR="00D10E53" w:rsidRPr="00844A76">
        <w:rPr>
          <w:b/>
          <w:sz w:val="28"/>
          <w:szCs w:val="28"/>
        </w:rPr>
        <w:t>scan</w:t>
      </w:r>
      <w:r w:rsidR="00A32CA8">
        <w:rPr>
          <w:b/>
          <w:sz w:val="28"/>
          <w:szCs w:val="28"/>
        </w:rPr>
        <w:t xml:space="preserve"> should include p</w:t>
      </w:r>
      <w:r w:rsidR="00C75278" w:rsidRPr="00844A76">
        <w:rPr>
          <w:b/>
          <w:sz w:val="28"/>
          <w:szCs w:val="28"/>
        </w:rPr>
        <w:t>re</w:t>
      </w:r>
      <w:r w:rsidR="00D10E53" w:rsidRPr="00844A76">
        <w:rPr>
          <w:b/>
          <w:sz w:val="28"/>
          <w:szCs w:val="28"/>
        </w:rPr>
        <w:t>-contrast</w:t>
      </w:r>
      <w:r w:rsidR="00A32CA8">
        <w:rPr>
          <w:b/>
          <w:sz w:val="28"/>
          <w:szCs w:val="28"/>
        </w:rPr>
        <w:t xml:space="preserve"> examination</w:t>
      </w:r>
      <w:r w:rsidR="00D10E53" w:rsidRPr="00844A76">
        <w:rPr>
          <w:b/>
          <w:sz w:val="28"/>
          <w:szCs w:val="28"/>
        </w:rPr>
        <w:t xml:space="preserve"> of the</w:t>
      </w:r>
      <w:r w:rsidR="00A32CA8">
        <w:rPr>
          <w:b/>
          <w:sz w:val="28"/>
          <w:szCs w:val="28"/>
        </w:rPr>
        <w:t xml:space="preserve"> biliary system</w:t>
      </w:r>
      <w:r w:rsidR="00D10E53" w:rsidRPr="00844A76">
        <w:rPr>
          <w:b/>
          <w:sz w:val="28"/>
          <w:szCs w:val="28"/>
        </w:rPr>
        <w:t xml:space="preserve"> and pancreas</w:t>
      </w:r>
      <w:r w:rsidR="00D10E53" w:rsidRPr="00844A76">
        <w:rPr>
          <w:sz w:val="28"/>
          <w:szCs w:val="28"/>
        </w:rPr>
        <w:t xml:space="preserve"> to detect gallstones or pancreatic ductal calcification</w:t>
      </w:r>
      <w:r w:rsidR="002D6E8C" w:rsidRPr="00844A76">
        <w:rPr>
          <w:sz w:val="28"/>
          <w:szCs w:val="28"/>
        </w:rPr>
        <w:t xml:space="preserve"> followed by a </w:t>
      </w:r>
      <w:r w:rsidR="002D6E8C" w:rsidRPr="00844A76">
        <w:rPr>
          <w:b/>
          <w:sz w:val="28"/>
          <w:szCs w:val="28"/>
        </w:rPr>
        <w:t>60 – 70 second post</w:t>
      </w:r>
      <w:r w:rsidR="000D5079">
        <w:rPr>
          <w:b/>
          <w:sz w:val="28"/>
          <w:szCs w:val="28"/>
        </w:rPr>
        <w:t xml:space="preserve"> intravenous</w:t>
      </w:r>
      <w:r w:rsidR="002D6E8C" w:rsidRPr="00844A76">
        <w:rPr>
          <w:b/>
          <w:sz w:val="28"/>
          <w:szCs w:val="28"/>
        </w:rPr>
        <w:t xml:space="preserve"> contrast abdominal CT.</w:t>
      </w:r>
      <w:r w:rsidR="002D6E8C" w:rsidRPr="00844A76">
        <w:rPr>
          <w:sz w:val="28"/>
          <w:szCs w:val="28"/>
        </w:rPr>
        <w:t xml:space="preserve"> Include the pelvis in severe cases or if there are significant fluid collections.</w:t>
      </w:r>
      <w:r w:rsidR="00B37FC6" w:rsidRPr="00B37FC6">
        <w:rPr>
          <w:sz w:val="28"/>
          <w:szCs w:val="28"/>
        </w:rPr>
        <w:t xml:space="preserve"> </w:t>
      </w:r>
      <w:r w:rsidR="00B37FC6">
        <w:rPr>
          <w:sz w:val="28"/>
          <w:szCs w:val="28"/>
        </w:rPr>
        <w:t>Omit p</w:t>
      </w:r>
      <w:r w:rsidR="00B37FC6" w:rsidRPr="00AA7934">
        <w:rPr>
          <w:sz w:val="28"/>
          <w:szCs w:val="28"/>
        </w:rPr>
        <w:t>re-</w:t>
      </w:r>
      <w:r w:rsidR="00B37FC6">
        <w:rPr>
          <w:sz w:val="28"/>
          <w:szCs w:val="28"/>
        </w:rPr>
        <w:t xml:space="preserve">contrast examination </w:t>
      </w:r>
      <w:r w:rsidR="00B37FC6" w:rsidRPr="00AA7934">
        <w:rPr>
          <w:sz w:val="28"/>
          <w:szCs w:val="28"/>
        </w:rPr>
        <w:t>for subsequent CT examinations</w:t>
      </w:r>
      <w:r w:rsidR="00B37FC6">
        <w:rPr>
          <w:sz w:val="28"/>
          <w:szCs w:val="28"/>
        </w:rPr>
        <w:t xml:space="preserve"> unless new indication</w:t>
      </w:r>
      <w:r w:rsidR="00B37FC6">
        <w:rPr>
          <w:b/>
          <w:sz w:val="28"/>
          <w:szCs w:val="28"/>
        </w:rPr>
        <w:t>.</w:t>
      </w:r>
    </w:p>
    <w:p w:rsidR="00D10E53" w:rsidRPr="00844A76" w:rsidRDefault="00D10E53" w:rsidP="003D0DF3">
      <w:pPr>
        <w:pStyle w:val="ListParagraph"/>
        <w:jc w:val="both"/>
        <w:rPr>
          <w:sz w:val="28"/>
          <w:szCs w:val="28"/>
        </w:rPr>
      </w:pPr>
    </w:p>
    <w:p w:rsidR="002D6E8C" w:rsidRPr="00844A76" w:rsidRDefault="00C472DB" w:rsidP="003D0DF3">
      <w:pPr>
        <w:pStyle w:val="ListParagraph"/>
        <w:jc w:val="both"/>
        <w:rPr>
          <w:sz w:val="28"/>
          <w:szCs w:val="28"/>
        </w:rPr>
      </w:pPr>
      <w:r w:rsidRPr="00C472DB">
        <w:rPr>
          <w:b/>
          <w:sz w:val="28"/>
          <w:szCs w:val="28"/>
        </w:rPr>
        <w:t xml:space="preserve">Additional </w:t>
      </w:r>
      <w:r w:rsidR="002D6E8C" w:rsidRPr="00C472DB">
        <w:rPr>
          <w:b/>
          <w:sz w:val="28"/>
          <w:szCs w:val="28"/>
        </w:rPr>
        <w:t>arterial</w:t>
      </w:r>
      <w:r w:rsidR="002D6E8C" w:rsidRPr="00B10760">
        <w:rPr>
          <w:b/>
          <w:sz w:val="28"/>
          <w:szCs w:val="28"/>
        </w:rPr>
        <w:t xml:space="preserve"> phase</w:t>
      </w:r>
      <w:r>
        <w:rPr>
          <w:b/>
          <w:sz w:val="28"/>
          <w:szCs w:val="28"/>
        </w:rPr>
        <w:t xml:space="preserve"> indicated</w:t>
      </w:r>
      <w:r w:rsidR="002D6E8C" w:rsidRPr="00844A76">
        <w:rPr>
          <w:sz w:val="28"/>
          <w:szCs w:val="28"/>
        </w:rPr>
        <w:t xml:space="preserve"> </w:t>
      </w:r>
      <w:r>
        <w:rPr>
          <w:sz w:val="28"/>
          <w:szCs w:val="28"/>
        </w:rPr>
        <w:t>if h</w:t>
      </w:r>
      <w:r w:rsidR="002D6E8C" w:rsidRPr="00844A76">
        <w:rPr>
          <w:sz w:val="28"/>
          <w:szCs w:val="28"/>
        </w:rPr>
        <w:t xml:space="preserve">istory of haemorrhage to detect arterial </w:t>
      </w:r>
      <w:proofErr w:type="spellStart"/>
      <w:r w:rsidR="002D6E8C" w:rsidRPr="00844A76">
        <w:rPr>
          <w:sz w:val="28"/>
          <w:szCs w:val="28"/>
        </w:rPr>
        <w:t>pseudoaneurysm</w:t>
      </w:r>
      <w:r w:rsidR="00C75278" w:rsidRPr="00844A76">
        <w:rPr>
          <w:sz w:val="28"/>
          <w:szCs w:val="28"/>
        </w:rPr>
        <w:t>s</w:t>
      </w:r>
      <w:proofErr w:type="spellEnd"/>
      <w:r w:rsidR="002D6E8C" w:rsidRPr="00844A76">
        <w:rPr>
          <w:sz w:val="28"/>
          <w:szCs w:val="28"/>
        </w:rPr>
        <w:t>.</w:t>
      </w:r>
    </w:p>
    <w:p w:rsidR="00CF15DA" w:rsidRDefault="00CF15DA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AD640C" w:rsidRDefault="00AD640C" w:rsidP="003D0D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D640C">
        <w:rPr>
          <w:b/>
          <w:sz w:val="28"/>
          <w:szCs w:val="28"/>
          <w:u w:val="single"/>
        </w:rPr>
        <w:t>Chronic pancreatitis.</w:t>
      </w:r>
    </w:p>
    <w:p w:rsidR="00AC30FA" w:rsidRDefault="00AC30FA" w:rsidP="003D0DF3">
      <w:pPr>
        <w:pStyle w:val="ListParagraph"/>
        <w:jc w:val="both"/>
        <w:rPr>
          <w:b/>
          <w:sz w:val="28"/>
          <w:szCs w:val="28"/>
          <w:u w:val="single"/>
        </w:rPr>
      </w:pPr>
    </w:p>
    <w:p w:rsidR="00AC30FA" w:rsidRPr="002B2467" w:rsidRDefault="00AC30FA" w:rsidP="003D0DF3">
      <w:pPr>
        <w:pStyle w:val="ListParagraph"/>
        <w:jc w:val="both"/>
        <w:rPr>
          <w:sz w:val="28"/>
          <w:szCs w:val="28"/>
        </w:rPr>
      </w:pPr>
      <w:r w:rsidRPr="002B2467">
        <w:rPr>
          <w:b/>
          <w:sz w:val="28"/>
          <w:szCs w:val="28"/>
        </w:rPr>
        <w:t>Ultrasound of the upper abdomen</w:t>
      </w:r>
    </w:p>
    <w:p w:rsidR="00AD640C" w:rsidRPr="002B2467" w:rsidRDefault="00AD640C" w:rsidP="003D0DF3">
      <w:pPr>
        <w:pStyle w:val="ListParagraph"/>
        <w:jc w:val="both"/>
        <w:rPr>
          <w:sz w:val="28"/>
          <w:szCs w:val="28"/>
          <w:u w:val="single"/>
        </w:rPr>
      </w:pPr>
    </w:p>
    <w:p w:rsidR="00CA16DD" w:rsidRPr="002B2467" w:rsidRDefault="00C13FDA" w:rsidP="003D0DF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70C6A" w:rsidRPr="002B2467">
        <w:rPr>
          <w:b/>
          <w:sz w:val="28"/>
          <w:szCs w:val="28"/>
        </w:rPr>
        <w:t>re-</w:t>
      </w:r>
      <w:r w:rsidR="00AD640C" w:rsidRPr="002B2467">
        <w:rPr>
          <w:b/>
          <w:sz w:val="28"/>
          <w:szCs w:val="28"/>
        </w:rPr>
        <w:t>contrast pancreas</w:t>
      </w:r>
      <w:r w:rsidR="00070C6A" w:rsidRPr="002B2467">
        <w:rPr>
          <w:b/>
          <w:sz w:val="28"/>
          <w:szCs w:val="28"/>
        </w:rPr>
        <w:t xml:space="preserve"> recommended</w:t>
      </w:r>
      <w:r w:rsidR="000E2161" w:rsidRPr="002B2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initial examination </w:t>
      </w:r>
      <w:r w:rsidR="00AD640C" w:rsidRPr="002B2467">
        <w:rPr>
          <w:sz w:val="28"/>
          <w:szCs w:val="28"/>
        </w:rPr>
        <w:t xml:space="preserve">to </w:t>
      </w:r>
      <w:r w:rsidR="000E2161" w:rsidRPr="002B2467">
        <w:rPr>
          <w:sz w:val="28"/>
          <w:szCs w:val="28"/>
        </w:rPr>
        <w:t>detect</w:t>
      </w:r>
      <w:r w:rsidR="00AD640C" w:rsidRPr="002B2467">
        <w:rPr>
          <w:sz w:val="28"/>
          <w:szCs w:val="28"/>
        </w:rPr>
        <w:t xml:space="preserve"> </w:t>
      </w:r>
      <w:r w:rsidR="00067A81">
        <w:rPr>
          <w:sz w:val="28"/>
          <w:szCs w:val="28"/>
        </w:rPr>
        <w:t xml:space="preserve">pancreatic ductal calcification followed by </w:t>
      </w:r>
      <w:r w:rsidR="00AD640C" w:rsidRPr="002B2467">
        <w:rPr>
          <w:b/>
          <w:sz w:val="28"/>
          <w:szCs w:val="28"/>
        </w:rPr>
        <w:t xml:space="preserve">CT </w:t>
      </w:r>
      <w:r w:rsidR="000E2161" w:rsidRPr="002B2467">
        <w:rPr>
          <w:b/>
          <w:sz w:val="28"/>
          <w:szCs w:val="28"/>
        </w:rPr>
        <w:t xml:space="preserve">upper </w:t>
      </w:r>
      <w:r w:rsidR="00AD640C" w:rsidRPr="002B2467">
        <w:rPr>
          <w:b/>
          <w:sz w:val="28"/>
          <w:szCs w:val="28"/>
        </w:rPr>
        <w:t>abdomen</w:t>
      </w:r>
      <w:r w:rsidR="00067A81">
        <w:rPr>
          <w:b/>
          <w:sz w:val="28"/>
          <w:szCs w:val="28"/>
        </w:rPr>
        <w:t xml:space="preserve"> performed</w:t>
      </w:r>
      <w:r w:rsidR="00AD640C" w:rsidRPr="002B2467">
        <w:rPr>
          <w:b/>
          <w:sz w:val="28"/>
          <w:szCs w:val="28"/>
        </w:rPr>
        <w:t xml:space="preserve"> 60</w:t>
      </w:r>
      <w:r w:rsidR="00D164AF" w:rsidRPr="002B2467">
        <w:rPr>
          <w:b/>
          <w:sz w:val="28"/>
          <w:szCs w:val="28"/>
        </w:rPr>
        <w:t xml:space="preserve"> </w:t>
      </w:r>
      <w:r w:rsidR="00AD640C" w:rsidRPr="002B2467">
        <w:rPr>
          <w:b/>
          <w:sz w:val="28"/>
          <w:szCs w:val="28"/>
        </w:rPr>
        <w:t>- 70 seconds post contrast injection</w:t>
      </w:r>
      <w:r w:rsidR="00D164AF" w:rsidRPr="002B2467">
        <w:rPr>
          <w:b/>
          <w:sz w:val="28"/>
          <w:szCs w:val="28"/>
        </w:rPr>
        <w:t>.</w:t>
      </w:r>
    </w:p>
    <w:p w:rsidR="00CA16DD" w:rsidRPr="002B2467" w:rsidRDefault="00CA16DD" w:rsidP="003D0DF3">
      <w:pPr>
        <w:pStyle w:val="ListParagraph"/>
        <w:jc w:val="both"/>
        <w:rPr>
          <w:sz w:val="28"/>
          <w:szCs w:val="28"/>
        </w:rPr>
      </w:pPr>
    </w:p>
    <w:p w:rsidR="00A638AF" w:rsidRDefault="005F2F01" w:rsidP="003D0DF3">
      <w:pPr>
        <w:pStyle w:val="ListParagraph"/>
        <w:jc w:val="both"/>
        <w:rPr>
          <w:sz w:val="28"/>
          <w:szCs w:val="28"/>
        </w:rPr>
      </w:pPr>
      <w:r w:rsidRPr="000D42F5">
        <w:rPr>
          <w:b/>
          <w:sz w:val="28"/>
          <w:szCs w:val="28"/>
        </w:rPr>
        <w:t>A</w:t>
      </w:r>
      <w:r w:rsidR="00AA7934" w:rsidRPr="000D42F5">
        <w:rPr>
          <w:b/>
          <w:sz w:val="28"/>
          <w:szCs w:val="28"/>
        </w:rPr>
        <w:t xml:space="preserve">rterial </w:t>
      </w:r>
      <w:r w:rsidRPr="000D42F5">
        <w:rPr>
          <w:b/>
          <w:sz w:val="28"/>
          <w:szCs w:val="28"/>
        </w:rPr>
        <w:t>phase imaging</w:t>
      </w:r>
      <w:r w:rsidR="00AA7934" w:rsidRPr="00CA16DD">
        <w:rPr>
          <w:sz w:val="28"/>
          <w:szCs w:val="28"/>
        </w:rPr>
        <w:t xml:space="preserve"> not routinely required unless assessing for arterial complications</w:t>
      </w:r>
      <w:r w:rsidR="00E511BF">
        <w:rPr>
          <w:sz w:val="28"/>
          <w:szCs w:val="28"/>
        </w:rPr>
        <w:t xml:space="preserve"> </w:t>
      </w:r>
      <w:r w:rsidR="00036A4C">
        <w:rPr>
          <w:sz w:val="28"/>
          <w:szCs w:val="28"/>
        </w:rPr>
        <w:t>e.g.</w:t>
      </w:r>
      <w:r w:rsidR="00E511BF">
        <w:rPr>
          <w:sz w:val="28"/>
          <w:szCs w:val="28"/>
        </w:rPr>
        <w:t xml:space="preserve"> haemorrhage or </w:t>
      </w:r>
      <w:proofErr w:type="spellStart"/>
      <w:r w:rsidR="00E511BF">
        <w:rPr>
          <w:sz w:val="28"/>
          <w:szCs w:val="28"/>
        </w:rPr>
        <w:t>pseudoaneursym</w:t>
      </w:r>
      <w:proofErr w:type="spellEnd"/>
      <w:r w:rsidR="00722ABA">
        <w:rPr>
          <w:sz w:val="28"/>
          <w:szCs w:val="28"/>
        </w:rPr>
        <w:t>, there is a clinical suspicion of malignancy</w:t>
      </w:r>
      <w:r w:rsidR="00036A4C">
        <w:rPr>
          <w:sz w:val="28"/>
          <w:szCs w:val="28"/>
        </w:rPr>
        <w:t xml:space="preserve"> </w:t>
      </w:r>
      <w:r w:rsidR="00AA7934" w:rsidRPr="00CA16DD">
        <w:rPr>
          <w:sz w:val="28"/>
          <w:szCs w:val="28"/>
        </w:rPr>
        <w:t xml:space="preserve">or the patient is to undergo </w:t>
      </w:r>
      <w:r w:rsidR="00015749">
        <w:rPr>
          <w:sz w:val="28"/>
          <w:szCs w:val="28"/>
        </w:rPr>
        <w:t xml:space="preserve">pancreatic </w:t>
      </w:r>
      <w:r w:rsidR="00AA7934" w:rsidRPr="00CA16DD">
        <w:rPr>
          <w:sz w:val="28"/>
          <w:szCs w:val="28"/>
        </w:rPr>
        <w:t>surgery.</w:t>
      </w:r>
    </w:p>
    <w:p w:rsidR="00F16D5D" w:rsidRDefault="00F16D5D" w:rsidP="003D0DF3">
      <w:pPr>
        <w:pStyle w:val="ListParagraph"/>
        <w:jc w:val="both"/>
        <w:rPr>
          <w:sz w:val="28"/>
          <w:szCs w:val="28"/>
        </w:rPr>
      </w:pPr>
    </w:p>
    <w:p w:rsidR="00FE5A59" w:rsidRDefault="00FE5A59" w:rsidP="003D0DF3">
      <w:pPr>
        <w:pStyle w:val="ListParagraph"/>
        <w:jc w:val="both"/>
        <w:rPr>
          <w:sz w:val="28"/>
          <w:szCs w:val="28"/>
        </w:rPr>
      </w:pPr>
    </w:p>
    <w:p w:rsidR="00FE5A59" w:rsidRDefault="00FE5A59" w:rsidP="003D0DF3">
      <w:pPr>
        <w:pStyle w:val="ListParagraph"/>
        <w:jc w:val="both"/>
        <w:rPr>
          <w:sz w:val="28"/>
          <w:szCs w:val="28"/>
        </w:rPr>
      </w:pPr>
    </w:p>
    <w:p w:rsidR="000343D2" w:rsidRPr="003D0DF3" w:rsidRDefault="003D0DF3" w:rsidP="003D0DF3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</w:t>
      </w:r>
    </w:p>
    <w:p w:rsidR="00580F13" w:rsidRPr="001A417B" w:rsidRDefault="00580F13" w:rsidP="003D0DF3">
      <w:pPr>
        <w:pStyle w:val="Heading1"/>
        <w:jc w:val="both"/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</w:pPr>
      <w:r w:rsidRPr="001A417B">
        <w:rPr>
          <w:rFonts w:ascii="Calibri" w:hAnsi="Calibri"/>
          <w:b w:val="0"/>
          <w:color w:val="auto"/>
        </w:rPr>
        <w:t>1)</w:t>
      </w:r>
      <w:r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 </w:t>
      </w:r>
      <w:r w:rsidR="00030B53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Royal college of </w:t>
      </w:r>
      <w:r w:rsidR="003A4758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R</w:t>
      </w:r>
      <w:r w:rsidR="00030B53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adiologists</w:t>
      </w:r>
      <w:r w:rsidR="00B7647A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.</w:t>
      </w:r>
      <w:r w:rsidR="00030B53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 </w:t>
      </w:r>
      <w:r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Recommendations for cross-sectional</w:t>
      </w:r>
      <w:r w:rsidR="007C68B6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 imaging in cancer management, s</w:t>
      </w:r>
      <w:r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econd edition</w:t>
      </w:r>
      <w:r w:rsidR="00B7647A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.</w:t>
      </w:r>
      <w:r w:rsidR="00732CBA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 Reference BFCR (14) 2,</w:t>
      </w:r>
      <w:r w:rsidR="00030B53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 xml:space="preserve"> published 2006 and updated 2014 (available free on line</w:t>
      </w:r>
      <w:r w:rsidR="00B7647A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.</w:t>
      </w:r>
      <w:r w:rsidR="00030B53" w:rsidRPr="001A417B">
        <w:rPr>
          <w:rFonts w:ascii="Calibri" w:eastAsia="Times New Roman" w:hAnsi="Calibri" w:cs="Arial"/>
          <w:b w:val="0"/>
          <w:color w:val="auto"/>
          <w:spacing w:val="-15"/>
          <w:kern w:val="36"/>
          <w:szCs w:val="48"/>
          <w:lang w:val="en" w:eastAsia="en-GB"/>
        </w:rPr>
        <w:t>)</w:t>
      </w:r>
    </w:p>
    <w:p w:rsidR="00580F13" w:rsidRPr="001A417B" w:rsidRDefault="00580F13" w:rsidP="003D0DF3">
      <w:pPr>
        <w:pStyle w:val="ListParagraph"/>
        <w:jc w:val="both"/>
        <w:rPr>
          <w:sz w:val="28"/>
          <w:szCs w:val="28"/>
        </w:rPr>
      </w:pPr>
    </w:p>
    <w:p w:rsidR="000343D2" w:rsidRDefault="000343D2" w:rsidP="003D0DF3">
      <w:pPr>
        <w:pStyle w:val="ListParagraph"/>
        <w:jc w:val="both"/>
        <w:rPr>
          <w:sz w:val="28"/>
          <w:szCs w:val="28"/>
        </w:rPr>
      </w:pPr>
    </w:p>
    <w:p w:rsidR="000343D2" w:rsidRDefault="000343D2" w:rsidP="003D0DF3">
      <w:pPr>
        <w:pStyle w:val="ListParagraph"/>
        <w:jc w:val="both"/>
        <w:rPr>
          <w:sz w:val="28"/>
          <w:szCs w:val="28"/>
        </w:rPr>
      </w:pPr>
    </w:p>
    <w:p w:rsidR="000343D2" w:rsidRDefault="000343D2" w:rsidP="003D0DF3">
      <w:pPr>
        <w:pStyle w:val="ListParagraph"/>
        <w:jc w:val="both"/>
        <w:rPr>
          <w:sz w:val="28"/>
          <w:szCs w:val="28"/>
        </w:rPr>
      </w:pPr>
    </w:p>
    <w:p w:rsidR="00A638AF" w:rsidRDefault="000977C8" w:rsidP="003D0DF3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1073A9">
        <w:rPr>
          <w:b/>
          <w:sz w:val="28"/>
          <w:szCs w:val="28"/>
        </w:rPr>
        <w:t>14</w:t>
      </w:r>
      <w:r w:rsidR="00127034">
        <w:rPr>
          <w:b/>
          <w:sz w:val="28"/>
          <w:szCs w:val="28"/>
        </w:rPr>
        <w:t>/02/17</w:t>
      </w:r>
    </w:p>
    <w:sectPr w:rsidR="00A638AF" w:rsidSect="00FE5A59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93" w:rsidRDefault="00690593" w:rsidP="00CC2F85">
      <w:pPr>
        <w:spacing w:after="0" w:line="240" w:lineRule="auto"/>
      </w:pPr>
      <w:r>
        <w:separator/>
      </w:r>
    </w:p>
  </w:endnote>
  <w:endnote w:type="continuationSeparator" w:id="0">
    <w:p w:rsidR="00690593" w:rsidRDefault="00690593" w:rsidP="00C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DF3" w:rsidRDefault="003D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DF3" w:rsidRDefault="003D0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93" w:rsidRDefault="00690593" w:rsidP="00CC2F85">
      <w:pPr>
        <w:spacing w:after="0" w:line="240" w:lineRule="auto"/>
      </w:pPr>
      <w:r>
        <w:separator/>
      </w:r>
    </w:p>
  </w:footnote>
  <w:footnote w:type="continuationSeparator" w:id="0">
    <w:p w:rsidR="00690593" w:rsidRDefault="00690593" w:rsidP="00CC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E2"/>
    <w:multiLevelType w:val="hybridMultilevel"/>
    <w:tmpl w:val="BD38C5B0"/>
    <w:lvl w:ilvl="0" w:tplc="AA529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41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C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685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CD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B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D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4C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C2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600A9"/>
    <w:multiLevelType w:val="hybridMultilevel"/>
    <w:tmpl w:val="FDE4B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5F55"/>
    <w:multiLevelType w:val="hybridMultilevel"/>
    <w:tmpl w:val="11E854FE"/>
    <w:lvl w:ilvl="0" w:tplc="CE424D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802CC"/>
    <w:multiLevelType w:val="hybridMultilevel"/>
    <w:tmpl w:val="639A7BE4"/>
    <w:lvl w:ilvl="0" w:tplc="78361B0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516AD"/>
    <w:multiLevelType w:val="hybridMultilevel"/>
    <w:tmpl w:val="C134A260"/>
    <w:lvl w:ilvl="0" w:tplc="361C25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F"/>
    <w:multiLevelType w:val="hybridMultilevel"/>
    <w:tmpl w:val="8FB81724"/>
    <w:lvl w:ilvl="0" w:tplc="614893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55092"/>
    <w:multiLevelType w:val="hybridMultilevel"/>
    <w:tmpl w:val="222653C4"/>
    <w:lvl w:ilvl="0" w:tplc="915E51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E65B0"/>
    <w:multiLevelType w:val="hybridMultilevel"/>
    <w:tmpl w:val="5096E36A"/>
    <w:lvl w:ilvl="0" w:tplc="EF820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1"/>
    <w:rsid w:val="00001E63"/>
    <w:rsid w:val="00013E98"/>
    <w:rsid w:val="00015749"/>
    <w:rsid w:val="00026E6B"/>
    <w:rsid w:val="00030B53"/>
    <w:rsid w:val="000343D2"/>
    <w:rsid w:val="00036A4C"/>
    <w:rsid w:val="00067A81"/>
    <w:rsid w:val="00070C6A"/>
    <w:rsid w:val="00071763"/>
    <w:rsid w:val="0008055E"/>
    <w:rsid w:val="00082868"/>
    <w:rsid w:val="000977C8"/>
    <w:rsid w:val="000A03B6"/>
    <w:rsid w:val="000A1FD0"/>
    <w:rsid w:val="000B32E7"/>
    <w:rsid w:val="000C0471"/>
    <w:rsid w:val="000C5786"/>
    <w:rsid w:val="000D180F"/>
    <w:rsid w:val="000D271D"/>
    <w:rsid w:val="000D42F5"/>
    <w:rsid w:val="000D5079"/>
    <w:rsid w:val="000D61C6"/>
    <w:rsid w:val="000D6414"/>
    <w:rsid w:val="000E2161"/>
    <w:rsid w:val="00100136"/>
    <w:rsid w:val="001073A9"/>
    <w:rsid w:val="00127034"/>
    <w:rsid w:val="001401D7"/>
    <w:rsid w:val="00142969"/>
    <w:rsid w:val="00144CAE"/>
    <w:rsid w:val="001651F0"/>
    <w:rsid w:val="00173A40"/>
    <w:rsid w:val="00183190"/>
    <w:rsid w:val="00185A05"/>
    <w:rsid w:val="001A417B"/>
    <w:rsid w:val="001B0510"/>
    <w:rsid w:val="001B4F1C"/>
    <w:rsid w:val="001B7DF8"/>
    <w:rsid w:val="001C63D1"/>
    <w:rsid w:val="001D13BB"/>
    <w:rsid w:val="001D72F8"/>
    <w:rsid w:val="001D78CD"/>
    <w:rsid w:val="001E09E1"/>
    <w:rsid w:val="00202AF9"/>
    <w:rsid w:val="0021592D"/>
    <w:rsid w:val="002201A6"/>
    <w:rsid w:val="00236339"/>
    <w:rsid w:val="00237493"/>
    <w:rsid w:val="00254A2C"/>
    <w:rsid w:val="00260D38"/>
    <w:rsid w:val="00264631"/>
    <w:rsid w:val="002A75AE"/>
    <w:rsid w:val="002A7DB4"/>
    <w:rsid w:val="002B2467"/>
    <w:rsid w:val="002B36F8"/>
    <w:rsid w:val="002B796F"/>
    <w:rsid w:val="002D61E9"/>
    <w:rsid w:val="002D6E8C"/>
    <w:rsid w:val="002F2213"/>
    <w:rsid w:val="00324E1A"/>
    <w:rsid w:val="00335C0E"/>
    <w:rsid w:val="00337E06"/>
    <w:rsid w:val="003431F9"/>
    <w:rsid w:val="00346571"/>
    <w:rsid w:val="00356289"/>
    <w:rsid w:val="00366EF9"/>
    <w:rsid w:val="00377FDE"/>
    <w:rsid w:val="00395F4C"/>
    <w:rsid w:val="003A4758"/>
    <w:rsid w:val="003B272B"/>
    <w:rsid w:val="003C39CC"/>
    <w:rsid w:val="003D0DF3"/>
    <w:rsid w:val="003D62FF"/>
    <w:rsid w:val="003E03AB"/>
    <w:rsid w:val="003E760C"/>
    <w:rsid w:val="00416A11"/>
    <w:rsid w:val="004241C2"/>
    <w:rsid w:val="004311FD"/>
    <w:rsid w:val="0044043D"/>
    <w:rsid w:val="004628C8"/>
    <w:rsid w:val="00472EEA"/>
    <w:rsid w:val="004C0AF3"/>
    <w:rsid w:val="004D5128"/>
    <w:rsid w:val="005262C0"/>
    <w:rsid w:val="0056760A"/>
    <w:rsid w:val="00567D87"/>
    <w:rsid w:val="00572BA1"/>
    <w:rsid w:val="00573635"/>
    <w:rsid w:val="00580F13"/>
    <w:rsid w:val="00581086"/>
    <w:rsid w:val="00583168"/>
    <w:rsid w:val="0058389E"/>
    <w:rsid w:val="00585668"/>
    <w:rsid w:val="005C1CA1"/>
    <w:rsid w:val="005D5E01"/>
    <w:rsid w:val="005D6302"/>
    <w:rsid w:val="005F2F01"/>
    <w:rsid w:val="0060784A"/>
    <w:rsid w:val="00650271"/>
    <w:rsid w:val="0065491E"/>
    <w:rsid w:val="00666B5E"/>
    <w:rsid w:val="006672B9"/>
    <w:rsid w:val="006832FB"/>
    <w:rsid w:val="00690593"/>
    <w:rsid w:val="00696084"/>
    <w:rsid w:val="006A0CEE"/>
    <w:rsid w:val="006F2D03"/>
    <w:rsid w:val="006F62DC"/>
    <w:rsid w:val="006F745D"/>
    <w:rsid w:val="00707645"/>
    <w:rsid w:val="007078AB"/>
    <w:rsid w:val="00722ABA"/>
    <w:rsid w:val="00723399"/>
    <w:rsid w:val="00732644"/>
    <w:rsid w:val="00732CBA"/>
    <w:rsid w:val="00741870"/>
    <w:rsid w:val="00767CC4"/>
    <w:rsid w:val="0078654A"/>
    <w:rsid w:val="00786715"/>
    <w:rsid w:val="00787148"/>
    <w:rsid w:val="00787272"/>
    <w:rsid w:val="00794598"/>
    <w:rsid w:val="007A03DB"/>
    <w:rsid w:val="007B1551"/>
    <w:rsid w:val="007C68B6"/>
    <w:rsid w:val="007D1E5A"/>
    <w:rsid w:val="007E2591"/>
    <w:rsid w:val="007E58F9"/>
    <w:rsid w:val="007F20E7"/>
    <w:rsid w:val="00807E2C"/>
    <w:rsid w:val="00822BA9"/>
    <w:rsid w:val="0083235E"/>
    <w:rsid w:val="00833F51"/>
    <w:rsid w:val="00844A76"/>
    <w:rsid w:val="008563DF"/>
    <w:rsid w:val="00856B42"/>
    <w:rsid w:val="008627C9"/>
    <w:rsid w:val="008850D3"/>
    <w:rsid w:val="00887ED9"/>
    <w:rsid w:val="008A63EF"/>
    <w:rsid w:val="008B0E2D"/>
    <w:rsid w:val="008D53DD"/>
    <w:rsid w:val="008D5B13"/>
    <w:rsid w:val="008F0333"/>
    <w:rsid w:val="008F68D0"/>
    <w:rsid w:val="00945CF4"/>
    <w:rsid w:val="00962CEF"/>
    <w:rsid w:val="00967029"/>
    <w:rsid w:val="009700E2"/>
    <w:rsid w:val="00972371"/>
    <w:rsid w:val="00976574"/>
    <w:rsid w:val="00995D7A"/>
    <w:rsid w:val="0099680F"/>
    <w:rsid w:val="00997B93"/>
    <w:rsid w:val="009A0DD4"/>
    <w:rsid w:val="009B0B36"/>
    <w:rsid w:val="009C1926"/>
    <w:rsid w:val="009C4045"/>
    <w:rsid w:val="009D16E0"/>
    <w:rsid w:val="009E0642"/>
    <w:rsid w:val="00A023BB"/>
    <w:rsid w:val="00A02623"/>
    <w:rsid w:val="00A02669"/>
    <w:rsid w:val="00A02D6F"/>
    <w:rsid w:val="00A17893"/>
    <w:rsid w:val="00A22874"/>
    <w:rsid w:val="00A32CA8"/>
    <w:rsid w:val="00A45664"/>
    <w:rsid w:val="00A638AF"/>
    <w:rsid w:val="00A73C38"/>
    <w:rsid w:val="00A77815"/>
    <w:rsid w:val="00AA7934"/>
    <w:rsid w:val="00AB770F"/>
    <w:rsid w:val="00AC30FA"/>
    <w:rsid w:val="00AD07A3"/>
    <w:rsid w:val="00AD640C"/>
    <w:rsid w:val="00AD6680"/>
    <w:rsid w:val="00AE327A"/>
    <w:rsid w:val="00B10760"/>
    <w:rsid w:val="00B1474E"/>
    <w:rsid w:val="00B302ED"/>
    <w:rsid w:val="00B37FC6"/>
    <w:rsid w:val="00B461B7"/>
    <w:rsid w:val="00B63170"/>
    <w:rsid w:val="00B655B7"/>
    <w:rsid w:val="00B67BB8"/>
    <w:rsid w:val="00B7647A"/>
    <w:rsid w:val="00B9446C"/>
    <w:rsid w:val="00B9512D"/>
    <w:rsid w:val="00BA5C5D"/>
    <w:rsid w:val="00BA7FD5"/>
    <w:rsid w:val="00BB5C16"/>
    <w:rsid w:val="00BC7591"/>
    <w:rsid w:val="00BC7F74"/>
    <w:rsid w:val="00BE47D2"/>
    <w:rsid w:val="00BF0F87"/>
    <w:rsid w:val="00C05C6D"/>
    <w:rsid w:val="00C13FDA"/>
    <w:rsid w:val="00C153B9"/>
    <w:rsid w:val="00C33B09"/>
    <w:rsid w:val="00C37745"/>
    <w:rsid w:val="00C472DB"/>
    <w:rsid w:val="00C5084D"/>
    <w:rsid w:val="00C5210B"/>
    <w:rsid w:val="00C627A7"/>
    <w:rsid w:val="00C62D81"/>
    <w:rsid w:val="00C75278"/>
    <w:rsid w:val="00C77B1A"/>
    <w:rsid w:val="00C82D4A"/>
    <w:rsid w:val="00C91DC1"/>
    <w:rsid w:val="00CA16DD"/>
    <w:rsid w:val="00CB0991"/>
    <w:rsid w:val="00CC2173"/>
    <w:rsid w:val="00CC2F85"/>
    <w:rsid w:val="00CE00FD"/>
    <w:rsid w:val="00CE2A28"/>
    <w:rsid w:val="00CE65D1"/>
    <w:rsid w:val="00CF0D9F"/>
    <w:rsid w:val="00CF15DA"/>
    <w:rsid w:val="00CF6EFF"/>
    <w:rsid w:val="00CF6F14"/>
    <w:rsid w:val="00D1048F"/>
    <w:rsid w:val="00D10E53"/>
    <w:rsid w:val="00D164AF"/>
    <w:rsid w:val="00D22A46"/>
    <w:rsid w:val="00D348A4"/>
    <w:rsid w:val="00D4318C"/>
    <w:rsid w:val="00D438E4"/>
    <w:rsid w:val="00D46567"/>
    <w:rsid w:val="00D475C4"/>
    <w:rsid w:val="00D54A96"/>
    <w:rsid w:val="00D7430C"/>
    <w:rsid w:val="00D75681"/>
    <w:rsid w:val="00D759D4"/>
    <w:rsid w:val="00D929C0"/>
    <w:rsid w:val="00D93244"/>
    <w:rsid w:val="00DA0F70"/>
    <w:rsid w:val="00DA6E7F"/>
    <w:rsid w:val="00DC6FF4"/>
    <w:rsid w:val="00DE466A"/>
    <w:rsid w:val="00DE71B6"/>
    <w:rsid w:val="00E00588"/>
    <w:rsid w:val="00E074F7"/>
    <w:rsid w:val="00E10112"/>
    <w:rsid w:val="00E251A8"/>
    <w:rsid w:val="00E26839"/>
    <w:rsid w:val="00E26E5E"/>
    <w:rsid w:val="00E34F2B"/>
    <w:rsid w:val="00E37A79"/>
    <w:rsid w:val="00E47DDA"/>
    <w:rsid w:val="00E50E1D"/>
    <w:rsid w:val="00E511BF"/>
    <w:rsid w:val="00E65076"/>
    <w:rsid w:val="00E72335"/>
    <w:rsid w:val="00E7460E"/>
    <w:rsid w:val="00E8139C"/>
    <w:rsid w:val="00E8198C"/>
    <w:rsid w:val="00E94534"/>
    <w:rsid w:val="00E95194"/>
    <w:rsid w:val="00E96248"/>
    <w:rsid w:val="00E979F5"/>
    <w:rsid w:val="00EB679E"/>
    <w:rsid w:val="00F02CB7"/>
    <w:rsid w:val="00F06054"/>
    <w:rsid w:val="00F16D5D"/>
    <w:rsid w:val="00F21638"/>
    <w:rsid w:val="00F272AD"/>
    <w:rsid w:val="00F36F27"/>
    <w:rsid w:val="00F467D8"/>
    <w:rsid w:val="00F46F2C"/>
    <w:rsid w:val="00F533DF"/>
    <w:rsid w:val="00F5661D"/>
    <w:rsid w:val="00F60695"/>
    <w:rsid w:val="00F73C2A"/>
    <w:rsid w:val="00F77813"/>
    <w:rsid w:val="00F80BA6"/>
    <w:rsid w:val="00FD7EFC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85"/>
  </w:style>
  <w:style w:type="paragraph" w:styleId="Footer">
    <w:name w:val="footer"/>
    <w:basedOn w:val="Normal"/>
    <w:link w:val="FooterChar"/>
    <w:uiPriority w:val="99"/>
    <w:unhideWhenUsed/>
    <w:rsid w:val="00CC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85"/>
  </w:style>
  <w:style w:type="character" w:customStyle="1" w:styleId="Heading1Char">
    <w:name w:val="Heading 1 Char"/>
    <w:basedOn w:val="DefaultParagraphFont"/>
    <w:link w:val="Heading1"/>
    <w:uiPriority w:val="9"/>
    <w:rsid w:val="0058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0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5A59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85"/>
  </w:style>
  <w:style w:type="paragraph" w:styleId="Footer">
    <w:name w:val="footer"/>
    <w:basedOn w:val="Normal"/>
    <w:link w:val="FooterChar"/>
    <w:uiPriority w:val="99"/>
    <w:unhideWhenUsed/>
    <w:rsid w:val="00CC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85"/>
  </w:style>
  <w:style w:type="character" w:customStyle="1" w:styleId="Heading1Char">
    <w:name w:val="Heading 1 Char"/>
    <w:basedOn w:val="DefaultParagraphFont"/>
    <w:link w:val="Heading1"/>
    <w:uiPriority w:val="9"/>
    <w:rsid w:val="0058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0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5A5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4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7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85A5-1AC8-411E-A50C-D0B761A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Agreed by the Clinical Radiology Advisory Group 2017</dc:creator>
  <cp:lastModifiedBy>Kathryn Jones</cp:lastModifiedBy>
  <cp:revision>4</cp:revision>
  <cp:lastPrinted>2017-02-10T12:42:00Z</cp:lastPrinted>
  <dcterms:created xsi:type="dcterms:W3CDTF">2018-01-11T12:04:00Z</dcterms:created>
  <dcterms:modified xsi:type="dcterms:W3CDTF">2018-08-10T13:34:00Z</dcterms:modified>
</cp:coreProperties>
</file>