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282A" w:rsidRPr="00A711FA" w:rsidRDefault="00D3282A" w:rsidP="00A711FA">
      <w:pPr>
        <w:jc w:val="center"/>
        <w:rPr>
          <w:b/>
          <w:sz w:val="28"/>
          <w:szCs w:val="28"/>
        </w:rPr>
      </w:pPr>
    </w:p>
    <w:p w:rsidR="0085737E" w:rsidRDefault="00C21B77" w:rsidP="00A711FA">
      <w:pPr>
        <w:jc w:val="center"/>
        <w:rPr>
          <w:b/>
          <w:sz w:val="28"/>
          <w:szCs w:val="28"/>
        </w:rPr>
      </w:pPr>
      <w:r w:rsidRPr="00A711FA">
        <w:rPr>
          <w:b/>
          <w:sz w:val="28"/>
          <w:szCs w:val="28"/>
        </w:rPr>
        <w:t xml:space="preserve">Early Cancer Diagnosis Improvement Planning </w:t>
      </w:r>
      <w:r w:rsidR="00A711FA" w:rsidRPr="00A711FA">
        <w:rPr>
          <w:b/>
          <w:sz w:val="28"/>
          <w:szCs w:val="28"/>
        </w:rPr>
        <w:t>– Template and Examples</w:t>
      </w:r>
    </w:p>
    <w:p w:rsidR="001815DF" w:rsidRDefault="001815DF" w:rsidP="00A711FA">
      <w:pPr>
        <w:jc w:val="center"/>
        <w:rPr>
          <w:b/>
          <w:sz w:val="28"/>
          <w:szCs w:val="28"/>
        </w:rPr>
      </w:pPr>
    </w:p>
    <w:p w:rsidR="001815DF" w:rsidRPr="00FF5EBC" w:rsidRDefault="001127FE" w:rsidP="00F502DA">
      <w:pPr>
        <w:jc w:val="both"/>
        <w:rPr>
          <w:sz w:val="22"/>
          <w:szCs w:val="22"/>
        </w:rPr>
      </w:pPr>
      <w:r w:rsidRPr="00FF5EBC">
        <w:rPr>
          <w:sz w:val="22"/>
          <w:szCs w:val="22"/>
        </w:rPr>
        <w:t>It is suggested that the planning templates</w:t>
      </w:r>
      <w:r w:rsidR="00F502DA" w:rsidRPr="00FF5EBC">
        <w:rPr>
          <w:sz w:val="22"/>
          <w:szCs w:val="22"/>
        </w:rPr>
        <w:t xml:space="preserve"> below</w:t>
      </w:r>
      <w:r w:rsidRPr="00FF5EBC">
        <w:rPr>
          <w:sz w:val="22"/>
          <w:szCs w:val="22"/>
        </w:rPr>
        <w:t xml:space="preserve"> can be adapted to support both PCN planning or individual practice plans.</w:t>
      </w:r>
    </w:p>
    <w:p w:rsidR="00F502DA" w:rsidRPr="00FF5EBC" w:rsidRDefault="005A4935" w:rsidP="00F502DA">
      <w:pPr>
        <w:jc w:val="both"/>
        <w:rPr>
          <w:sz w:val="22"/>
          <w:szCs w:val="22"/>
        </w:rPr>
      </w:pPr>
      <w:r w:rsidRPr="00FF5EBC">
        <w:rPr>
          <w:sz w:val="22"/>
          <w:szCs w:val="22"/>
        </w:rPr>
        <w:t xml:space="preserve">To follow is a populated plan to outline some possible examples of workstreams for PCNs and GP practices. </w:t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8222"/>
        <w:gridCol w:w="6946"/>
      </w:tblGrid>
      <w:tr w:rsidR="001815DF" w:rsidTr="00B947C0">
        <w:tc>
          <w:tcPr>
            <w:tcW w:w="8222" w:type="dxa"/>
            <w:shd w:val="clear" w:color="auto" w:fill="D9E2F3" w:themeFill="accent1" w:themeFillTint="33"/>
          </w:tcPr>
          <w:p w:rsidR="001815DF" w:rsidRPr="00224180" w:rsidRDefault="001815DF" w:rsidP="00FE2FC6">
            <w:pPr>
              <w:rPr>
                <w:b/>
              </w:rPr>
            </w:pPr>
            <w:r w:rsidRPr="00224180">
              <w:rPr>
                <w:b/>
              </w:rPr>
              <w:t>Supporting Early Cancer Diagnosis PCN Directed Enhanced Service 2020-21</w:t>
            </w:r>
          </w:p>
          <w:p w:rsidR="001815DF" w:rsidRPr="00224180" w:rsidRDefault="001815DF" w:rsidP="00FE2FC6">
            <w:pPr>
              <w:rPr>
                <w:b/>
              </w:rPr>
            </w:pPr>
          </w:p>
          <w:p w:rsidR="001815DF" w:rsidRPr="00224180" w:rsidRDefault="001815DF" w:rsidP="00FE2FC6">
            <w:pPr>
              <w:rPr>
                <w:b/>
              </w:rPr>
            </w:pPr>
            <w:r w:rsidRPr="00224180">
              <w:rPr>
                <w:b/>
              </w:rPr>
              <w:t>Name of PCN</w:t>
            </w:r>
            <w:r>
              <w:rPr>
                <w:b/>
              </w:rPr>
              <w:t>:</w:t>
            </w:r>
            <w:r w:rsidRPr="00224180">
              <w:rPr>
                <w:b/>
              </w:rPr>
              <w:t xml:space="preserve"> </w:t>
            </w:r>
          </w:p>
          <w:p w:rsidR="001815DF" w:rsidRPr="00224180" w:rsidRDefault="001815DF" w:rsidP="00FE2FC6">
            <w:pPr>
              <w:rPr>
                <w:b/>
              </w:rPr>
            </w:pPr>
          </w:p>
          <w:p w:rsidR="001815DF" w:rsidRDefault="001815DF" w:rsidP="00FE2FC6">
            <w:r w:rsidRPr="00224180">
              <w:rPr>
                <w:b/>
              </w:rPr>
              <w:t xml:space="preserve">PCN lead for this </w:t>
            </w:r>
            <w:proofErr w:type="gramStart"/>
            <w:r w:rsidRPr="00224180">
              <w:rPr>
                <w:b/>
              </w:rPr>
              <w:t>area</w:t>
            </w:r>
            <w:r>
              <w:t xml:space="preserve"> :</w:t>
            </w:r>
            <w:proofErr w:type="gramEnd"/>
          </w:p>
        </w:tc>
        <w:tc>
          <w:tcPr>
            <w:tcW w:w="6946" w:type="dxa"/>
            <w:shd w:val="clear" w:color="auto" w:fill="D9E2F3" w:themeFill="accent1" w:themeFillTint="33"/>
          </w:tcPr>
          <w:p w:rsidR="001815DF" w:rsidRDefault="001815DF" w:rsidP="00FE2FC6">
            <w:pPr>
              <w:rPr>
                <w:b/>
              </w:rPr>
            </w:pPr>
            <w:r w:rsidRPr="00224180">
              <w:rPr>
                <w:b/>
              </w:rPr>
              <w:t>Constituent Practices:</w:t>
            </w:r>
          </w:p>
          <w:p w:rsidR="001815DF" w:rsidRDefault="001815DF" w:rsidP="00FE2FC6">
            <w:pPr>
              <w:rPr>
                <w:b/>
              </w:rPr>
            </w:pPr>
          </w:p>
          <w:p w:rsidR="001815DF" w:rsidRDefault="001815DF" w:rsidP="00FE2FC6">
            <w:pPr>
              <w:rPr>
                <w:b/>
              </w:rPr>
            </w:pPr>
          </w:p>
          <w:p w:rsidR="001815DF" w:rsidRPr="00224180" w:rsidRDefault="001815DF" w:rsidP="00FE2FC6">
            <w:pPr>
              <w:rPr>
                <w:b/>
              </w:rPr>
            </w:pPr>
            <w:r>
              <w:rPr>
                <w:b/>
              </w:rPr>
              <w:t xml:space="preserve">Date Plan </w:t>
            </w:r>
            <w:proofErr w:type="gramStart"/>
            <w:r>
              <w:rPr>
                <w:b/>
              </w:rPr>
              <w:t>Agreed :</w:t>
            </w:r>
            <w:proofErr w:type="gramEnd"/>
          </w:p>
        </w:tc>
      </w:tr>
    </w:tbl>
    <w:p w:rsidR="001815DF" w:rsidRDefault="001815DF" w:rsidP="00A711FA">
      <w:pPr>
        <w:jc w:val="center"/>
        <w:rPr>
          <w:b/>
          <w:sz w:val="28"/>
          <w:szCs w:val="28"/>
        </w:rPr>
      </w:pP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4253"/>
        <w:gridCol w:w="3827"/>
        <w:gridCol w:w="2410"/>
        <w:gridCol w:w="1559"/>
        <w:gridCol w:w="3119"/>
      </w:tblGrid>
      <w:tr w:rsidR="009020E0" w:rsidRPr="00DF01B0" w:rsidTr="007240D7">
        <w:trPr>
          <w:tblHeader/>
        </w:trPr>
        <w:tc>
          <w:tcPr>
            <w:tcW w:w="4253" w:type="dxa"/>
            <w:shd w:val="clear" w:color="auto" w:fill="D9E2F3" w:themeFill="accent1" w:themeFillTint="33"/>
          </w:tcPr>
          <w:p w:rsidR="00B947C0" w:rsidRDefault="00B947C0" w:rsidP="00FE2FC6">
            <w:pPr>
              <w:rPr>
                <w:b/>
              </w:rPr>
            </w:pPr>
          </w:p>
          <w:p w:rsidR="009020E0" w:rsidRPr="00DF01B0" w:rsidRDefault="009020E0" w:rsidP="00FE2FC6">
            <w:pPr>
              <w:rPr>
                <w:b/>
              </w:rPr>
            </w:pPr>
            <w:r w:rsidRPr="00DF01B0">
              <w:rPr>
                <w:b/>
              </w:rPr>
              <w:t xml:space="preserve">PCN Objective </w:t>
            </w:r>
            <w:r>
              <w:rPr>
                <w:b/>
              </w:rPr>
              <w:t>(SMART)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:rsidR="00B947C0" w:rsidRDefault="00B947C0" w:rsidP="00FE2FC6">
            <w:pPr>
              <w:rPr>
                <w:b/>
              </w:rPr>
            </w:pPr>
          </w:p>
          <w:p w:rsidR="009020E0" w:rsidRPr="00DF01B0" w:rsidRDefault="009020E0" w:rsidP="00FE2FC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F01B0">
              <w:rPr>
                <w:b/>
              </w:rPr>
              <w:t>Activities</w:t>
            </w:r>
            <w:r w:rsidR="00651ED8">
              <w:rPr>
                <w:b/>
              </w:rPr>
              <w:t xml:space="preserve"> / Actions 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B947C0" w:rsidRDefault="00B947C0" w:rsidP="00FE2FC6">
            <w:pPr>
              <w:rPr>
                <w:b/>
              </w:rPr>
            </w:pPr>
          </w:p>
          <w:p w:rsidR="009020E0" w:rsidRDefault="009020E0" w:rsidP="00FE2FC6">
            <w:pPr>
              <w:rPr>
                <w:b/>
              </w:rPr>
            </w:pPr>
            <w:r w:rsidRPr="00DF01B0">
              <w:rPr>
                <w:b/>
              </w:rPr>
              <w:t xml:space="preserve">Outcome Measures </w:t>
            </w:r>
          </w:p>
          <w:p w:rsidR="00BE71D4" w:rsidRPr="00DF01B0" w:rsidRDefault="00BE71D4" w:rsidP="00FE2FC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:rsidR="009020E0" w:rsidRPr="00DF01B0" w:rsidRDefault="009020E0" w:rsidP="00FE2FC6">
            <w:pPr>
              <w:rPr>
                <w:b/>
              </w:rPr>
            </w:pPr>
            <w:r w:rsidRPr="00DF01B0">
              <w:rPr>
                <w:b/>
              </w:rPr>
              <w:t xml:space="preserve">Time Frames 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:rsidR="00BE71D4" w:rsidRDefault="009020E0" w:rsidP="00FE2FC6">
            <w:pPr>
              <w:rPr>
                <w:b/>
              </w:rPr>
            </w:pPr>
            <w:r>
              <w:rPr>
                <w:b/>
              </w:rPr>
              <w:t xml:space="preserve">Progress </w:t>
            </w:r>
          </w:p>
          <w:p w:rsidR="009020E0" w:rsidRPr="00DF01B0" w:rsidRDefault="009020E0" w:rsidP="00FE2FC6">
            <w:pPr>
              <w:rPr>
                <w:b/>
              </w:rPr>
            </w:pPr>
            <w:r>
              <w:rPr>
                <w:b/>
              </w:rPr>
              <w:t xml:space="preserve">(Interim and </w:t>
            </w:r>
          </w:p>
          <w:p w:rsidR="009020E0" w:rsidRPr="00DF01B0" w:rsidRDefault="009020E0" w:rsidP="00FE2FC6">
            <w:pPr>
              <w:rPr>
                <w:b/>
              </w:rPr>
            </w:pPr>
            <w:r w:rsidRPr="00DF01B0">
              <w:rPr>
                <w:b/>
              </w:rPr>
              <w:t xml:space="preserve">End of Year </w:t>
            </w:r>
            <w:r w:rsidR="00BE71D4">
              <w:rPr>
                <w:b/>
              </w:rPr>
              <w:t>Updates)</w:t>
            </w:r>
          </w:p>
        </w:tc>
      </w:tr>
      <w:tr w:rsidR="007240D7" w:rsidTr="00B947C0">
        <w:tc>
          <w:tcPr>
            <w:tcW w:w="15168" w:type="dxa"/>
            <w:gridSpan w:val="5"/>
            <w:shd w:val="clear" w:color="auto" w:fill="F2F2F2" w:themeFill="background1" w:themeFillShade="F2"/>
          </w:tcPr>
          <w:p w:rsidR="007240D7" w:rsidRDefault="007240D7" w:rsidP="00FE2FC6">
            <w:r w:rsidRPr="004C75D6">
              <w:rPr>
                <w:b/>
              </w:rPr>
              <w:t xml:space="preserve">Cancer Screening </w:t>
            </w:r>
          </w:p>
        </w:tc>
      </w:tr>
      <w:tr w:rsidR="009020E0" w:rsidTr="00BE71D4">
        <w:tc>
          <w:tcPr>
            <w:tcW w:w="4253" w:type="dxa"/>
          </w:tcPr>
          <w:p w:rsidR="009020E0" w:rsidRDefault="009020E0" w:rsidP="00FE2FC6">
            <w:pPr>
              <w:rPr>
                <w:b/>
              </w:rPr>
            </w:pPr>
          </w:p>
          <w:p w:rsidR="009020E0" w:rsidRPr="004C75D6" w:rsidRDefault="009020E0" w:rsidP="00FE2FC6">
            <w:pPr>
              <w:rPr>
                <w:b/>
              </w:rPr>
            </w:pPr>
          </w:p>
        </w:tc>
        <w:tc>
          <w:tcPr>
            <w:tcW w:w="3827" w:type="dxa"/>
          </w:tcPr>
          <w:p w:rsidR="009020E0" w:rsidRPr="00967FDC" w:rsidRDefault="009020E0" w:rsidP="00FE2FC6">
            <w:pPr>
              <w:rPr>
                <w:b/>
              </w:rPr>
            </w:pPr>
          </w:p>
        </w:tc>
        <w:tc>
          <w:tcPr>
            <w:tcW w:w="2410" w:type="dxa"/>
          </w:tcPr>
          <w:p w:rsidR="009020E0" w:rsidRDefault="009020E0" w:rsidP="00FE2FC6"/>
        </w:tc>
        <w:tc>
          <w:tcPr>
            <w:tcW w:w="1559" w:type="dxa"/>
          </w:tcPr>
          <w:p w:rsidR="009020E0" w:rsidRDefault="009020E0" w:rsidP="00FE2FC6"/>
        </w:tc>
        <w:tc>
          <w:tcPr>
            <w:tcW w:w="3119" w:type="dxa"/>
          </w:tcPr>
          <w:p w:rsidR="009020E0" w:rsidRDefault="009020E0" w:rsidP="00FE2FC6"/>
        </w:tc>
      </w:tr>
      <w:tr w:rsidR="009020E0" w:rsidTr="00BE71D4">
        <w:tc>
          <w:tcPr>
            <w:tcW w:w="4253" w:type="dxa"/>
          </w:tcPr>
          <w:p w:rsidR="009020E0" w:rsidRDefault="009020E0" w:rsidP="00FE2FC6">
            <w:pPr>
              <w:rPr>
                <w:b/>
              </w:rPr>
            </w:pPr>
          </w:p>
          <w:p w:rsidR="009020E0" w:rsidRPr="004C75D6" w:rsidRDefault="009020E0" w:rsidP="00FE2FC6">
            <w:pPr>
              <w:rPr>
                <w:b/>
              </w:rPr>
            </w:pPr>
          </w:p>
        </w:tc>
        <w:tc>
          <w:tcPr>
            <w:tcW w:w="3827" w:type="dxa"/>
          </w:tcPr>
          <w:p w:rsidR="009020E0" w:rsidRPr="00967FDC" w:rsidRDefault="009020E0" w:rsidP="00FE2FC6">
            <w:pPr>
              <w:rPr>
                <w:b/>
              </w:rPr>
            </w:pPr>
          </w:p>
        </w:tc>
        <w:tc>
          <w:tcPr>
            <w:tcW w:w="2410" w:type="dxa"/>
          </w:tcPr>
          <w:p w:rsidR="009020E0" w:rsidRDefault="009020E0" w:rsidP="00FE2FC6"/>
        </w:tc>
        <w:tc>
          <w:tcPr>
            <w:tcW w:w="1559" w:type="dxa"/>
          </w:tcPr>
          <w:p w:rsidR="009020E0" w:rsidRDefault="009020E0" w:rsidP="00FE2FC6"/>
        </w:tc>
        <w:tc>
          <w:tcPr>
            <w:tcW w:w="3119" w:type="dxa"/>
          </w:tcPr>
          <w:p w:rsidR="009020E0" w:rsidRDefault="009020E0" w:rsidP="00FE2FC6"/>
        </w:tc>
      </w:tr>
      <w:tr w:rsidR="007240D7" w:rsidTr="00B947C0">
        <w:tc>
          <w:tcPr>
            <w:tcW w:w="15168" w:type="dxa"/>
            <w:gridSpan w:val="5"/>
            <w:shd w:val="clear" w:color="auto" w:fill="F2F2F2" w:themeFill="background1" w:themeFillShade="F2"/>
          </w:tcPr>
          <w:p w:rsidR="007240D7" w:rsidRDefault="007240D7" w:rsidP="00FE2FC6">
            <w:r>
              <w:rPr>
                <w:b/>
              </w:rPr>
              <w:t>Improving Referral Practices</w:t>
            </w:r>
          </w:p>
        </w:tc>
      </w:tr>
      <w:tr w:rsidR="009020E0" w:rsidTr="00BE71D4">
        <w:tc>
          <w:tcPr>
            <w:tcW w:w="4253" w:type="dxa"/>
          </w:tcPr>
          <w:p w:rsidR="009020E0" w:rsidRDefault="009020E0" w:rsidP="00FE2FC6">
            <w:pPr>
              <w:rPr>
                <w:b/>
              </w:rPr>
            </w:pPr>
          </w:p>
          <w:p w:rsidR="009020E0" w:rsidRPr="004C75D6" w:rsidRDefault="009020E0" w:rsidP="00FE2FC6">
            <w:pPr>
              <w:rPr>
                <w:b/>
              </w:rPr>
            </w:pPr>
          </w:p>
        </w:tc>
        <w:tc>
          <w:tcPr>
            <w:tcW w:w="3827" w:type="dxa"/>
          </w:tcPr>
          <w:p w:rsidR="009020E0" w:rsidRPr="00967FDC" w:rsidRDefault="009020E0" w:rsidP="00FE2FC6">
            <w:pPr>
              <w:rPr>
                <w:b/>
              </w:rPr>
            </w:pPr>
          </w:p>
        </w:tc>
        <w:tc>
          <w:tcPr>
            <w:tcW w:w="2410" w:type="dxa"/>
          </w:tcPr>
          <w:p w:rsidR="009020E0" w:rsidRDefault="009020E0" w:rsidP="00FE2FC6"/>
        </w:tc>
        <w:tc>
          <w:tcPr>
            <w:tcW w:w="1559" w:type="dxa"/>
          </w:tcPr>
          <w:p w:rsidR="009020E0" w:rsidRDefault="009020E0" w:rsidP="00FE2FC6"/>
        </w:tc>
        <w:tc>
          <w:tcPr>
            <w:tcW w:w="3119" w:type="dxa"/>
          </w:tcPr>
          <w:p w:rsidR="009020E0" w:rsidRDefault="009020E0" w:rsidP="00FE2FC6"/>
        </w:tc>
      </w:tr>
      <w:tr w:rsidR="009020E0" w:rsidTr="00BE71D4">
        <w:tc>
          <w:tcPr>
            <w:tcW w:w="4253" w:type="dxa"/>
          </w:tcPr>
          <w:p w:rsidR="009020E0" w:rsidRDefault="009020E0" w:rsidP="00FE2FC6">
            <w:pPr>
              <w:rPr>
                <w:b/>
              </w:rPr>
            </w:pPr>
          </w:p>
          <w:p w:rsidR="009020E0" w:rsidRPr="004C75D6" w:rsidRDefault="009020E0" w:rsidP="00FE2FC6">
            <w:pPr>
              <w:rPr>
                <w:b/>
              </w:rPr>
            </w:pPr>
          </w:p>
        </w:tc>
        <w:tc>
          <w:tcPr>
            <w:tcW w:w="3827" w:type="dxa"/>
          </w:tcPr>
          <w:p w:rsidR="009020E0" w:rsidRPr="00967FDC" w:rsidRDefault="009020E0" w:rsidP="00FE2FC6">
            <w:pPr>
              <w:rPr>
                <w:b/>
              </w:rPr>
            </w:pPr>
          </w:p>
        </w:tc>
        <w:tc>
          <w:tcPr>
            <w:tcW w:w="2410" w:type="dxa"/>
          </w:tcPr>
          <w:p w:rsidR="009020E0" w:rsidRDefault="009020E0" w:rsidP="00FE2FC6"/>
        </w:tc>
        <w:tc>
          <w:tcPr>
            <w:tcW w:w="1559" w:type="dxa"/>
          </w:tcPr>
          <w:p w:rsidR="009020E0" w:rsidRDefault="009020E0" w:rsidP="00FE2FC6"/>
        </w:tc>
        <w:tc>
          <w:tcPr>
            <w:tcW w:w="3119" w:type="dxa"/>
          </w:tcPr>
          <w:p w:rsidR="009020E0" w:rsidRDefault="009020E0" w:rsidP="00FE2FC6"/>
        </w:tc>
      </w:tr>
      <w:tr w:rsidR="007240D7" w:rsidTr="00B947C0">
        <w:tc>
          <w:tcPr>
            <w:tcW w:w="15168" w:type="dxa"/>
            <w:gridSpan w:val="5"/>
            <w:shd w:val="clear" w:color="auto" w:fill="F2F2F2" w:themeFill="background1" w:themeFillShade="F2"/>
          </w:tcPr>
          <w:p w:rsidR="007240D7" w:rsidRDefault="00F502DA" w:rsidP="00FE2FC6">
            <w:r>
              <w:rPr>
                <w:b/>
              </w:rPr>
              <w:t xml:space="preserve">PCN Planning and </w:t>
            </w:r>
            <w:r w:rsidR="007240D7">
              <w:rPr>
                <w:b/>
              </w:rPr>
              <w:t>Peer Review Meetings</w:t>
            </w:r>
          </w:p>
        </w:tc>
      </w:tr>
      <w:tr w:rsidR="009020E0" w:rsidTr="00BE71D4">
        <w:tc>
          <w:tcPr>
            <w:tcW w:w="4253" w:type="dxa"/>
          </w:tcPr>
          <w:p w:rsidR="009020E0" w:rsidRDefault="009020E0" w:rsidP="00FE2FC6">
            <w:pPr>
              <w:rPr>
                <w:b/>
              </w:rPr>
            </w:pPr>
          </w:p>
          <w:p w:rsidR="009020E0" w:rsidRDefault="009020E0" w:rsidP="00FE2FC6">
            <w:pPr>
              <w:rPr>
                <w:b/>
              </w:rPr>
            </w:pPr>
          </w:p>
        </w:tc>
        <w:tc>
          <w:tcPr>
            <w:tcW w:w="3827" w:type="dxa"/>
          </w:tcPr>
          <w:p w:rsidR="009020E0" w:rsidRPr="00967FDC" w:rsidRDefault="009020E0" w:rsidP="00FE2FC6">
            <w:pPr>
              <w:rPr>
                <w:b/>
              </w:rPr>
            </w:pPr>
          </w:p>
        </w:tc>
        <w:tc>
          <w:tcPr>
            <w:tcW w:w="2410" w:type="dxa"/>
          </w:tcPr>
          <w:p w:rsidR="009020E0" w:rsidRDefault="009020E0" w:rsidP="00FE2FC6"/>
        </w:tc>
        <w:tc>
          <w:tcPr>
            <w:tcW w:w="1559" w:type="dxa"/>
          </w:tcPr>
          <w:p w:rsidR="009020E0" w:rsidRDefault="009020E0" w:rsidP="00FE2FC6"/>
        </w:tc>
        <w:tc>
          <w:tcPr>
            <w:tcW w:w="3119" w:type="dxa"/>
          </w:tcPr>
          <w:p w:rsidR="009020E0" w:rsidRDefault="009020E0" w:rsidP="00FE2FC6"/>
        </w:tc>
      </w:tr>
      <w:tr w:rsidR="00B86240" w:rsidTr="00BE71D4">
        <w:tc>
          <w:tcPr>
            <w:tcW w:w="4253" w:type="dxa"/>
          </w:tcPr>
          <w:p w:rsidR="00B86240" w:rsidRDefault="00B86240" w:rsidP="00FE2FC6">
            <w:pPr>
              <w:rPr>
                <w:b/>
              </w:rPr>
            </w:pPr>
          </w:p>
        </w:tc>
        <w:tc>
          <w:tcPr>
            <w:tcW w:w="3827" w:type="dxa"/>
          </w:tcPr>
          <w:p w:rsidR="00B86240" w:rsidRPr="00967FDC" w:rsidRDefault="00B86240" w:rsidP="00FE2FC6">
            <w:pPr>
              <w:rPr>
                <w:b/>
              </w:rPr>
            </w:pPr>
          </w:p>
        </w:tc>
        <w:tc>
          <w:tcPr>
            <w:tcW w:w="2410" w:type="dxa"/>
          </w:tcPr>
          <w:p w:rsidR="00B86240" w:rsidRDefault="00B86240" w:rsidP="00FE2FC6"/>
        </w:tc>
        <w:tc>
          <w:tcPr>
            <w:tcW w:w="1559" w:type="dxa"/>
          </w:tcPr>
          <w:p w:rsidR="00B86240" w:rsidRDefault="00B86240" w:rsidP="00FE2FC6"/>
        </w:tc>
        <w:tc>
          <w:tcPr>
            <w:tcW w:w="3119" w:type="dxa"/>
          </w:tcPr>
          <w:p w:rsidR="00B86240" w:rsidRDefault="00B86240" w:rsidP="00FE2FC6"/>
          <w:p w:rsidR="00F502DA" w:rsidRDefault="00F502DA" w:rsidP="00FE2FC6"/>
        </w:tc>
      </w:tr>
    </w:tbl>
    <w:p w:rsidR="001815DF" w:rsidRDefault="001815DF" w:rsidP="00FF5EBC">
      <w:pPr>
        <w:rPr>
          <w:b/>
          <w:sz w:val="28"/>
          <w:szCs w:val="28"/>
        </w:rPr>
      </w:pPr>
    </w:p>
    <w:p w:rsidR="001815DF" w:rsidRDefault="001815DF" w:rsidP="001815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Example Objectives / Improvement Topics </w:t>
      </w:r>
    </w:p>
    <w:p w:rsidR="0011045F" w:rsidRPr="0011045F" w:rsidRDefault="0011045F" w:rsidP="001815DF">
      <w:pPr>
        <w:rPr>
          <w:sz w:val="28"/>
          <w:szCs w:val="28"/>
        </w:rPr>
      </w:pPr>
      <w:r w:rsidRPr="0011045F">
        <w:rPr>
          <w:sz w:val="28"/>
          <w:szCs w:val="28"/>
        </w:rPr>
        <w:t>The following are possible examples of improvement objectives</w:t>
      </w:r>
      <w:r w:rsidR="00420C09">
        <w:rPr>
          <w:sz w:val="28"/>
          <w:szCs w:val="28"/>
        </w:rPr>
        <w:t xml:space="preserve">. </w:t>
      </w:r>
      <w:r w:rsidRPr="0011045F">
        <w:rPr>
          <w:sz w:val="28"/>
          <w:szCs w:val="28"/>
        </w:rPr>
        <w:t xml:space="preserve"> It is not an exhaustive list nor is it suggested that all these examples are used in any given </w:t>
      </w:r>
      <w:r w:rsidR="00420C09">
        <w:rPr>
          <w:sz w:val="28"/>
          <w:szCs w:val="28"/>
        </w:rPr>
        <w:t xml:space="preserve">PCN or practice plan. </w:t>
      </w:r>
    </w:p>
    <w:p w:rsidR="0011045F" w:rsidRPr="00A711FA" w:rsidRDefault="0011045F" w:rsidP="001815D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6300"/>
      </w:tblGrid>
      <w:tr w:rsidR="00D3282A" w:rsidTr="00395D88">
        <w:tc>
          <w:tcPr>
            <w:tcW w:w="7650" w:type="dxa"/>
            <w:shd w:val="clear" w:color="auto" w:fill="D9E2F3" w:themeFill="accent1" w:themeFillTint="33"/>
          </w:tcPr>
          <w:p w:rsidR="00D3282A" w:rsidRPr="00224180" w:rsidRDefault="00D3282A" w:rsidP="00D3282A">
            <w:pPr>
              <w:rPr>
                <w:b/>
              </w:rPr>
            </w:pPr>
            <w:r w:rsidRPr="00224180">
              <w:rPr>
                <w:b/>
              </w:rPr>
              <w:t>Supporting Early Cancer Diagnosis PCN Directed Enhanced Service 2020-21</w:t>
            </w:r>
          </w:p>
          <w:p w:rsidR="00D3282A" w:rsidRPr="00224180" w:rsidRDefault="00D3282A" w:rsidP="00D3282A">
            <w:pPr>
              <w:rPr>
                <w:b/>
              </w:rPr>
            </w:pPr>
          </w:p>
          <w:p w:rsidR="00D3282A" w:rsidRPr="00224180" w:rsidRDefault="00D3282A" w:rsidP="00D3282A">
            <w:pPr>
              <w:rPr>
                <w:b/>
              </w:rPr>
            </w:pPr>
            <w:r w:rsidRPr="00224180">
              <w:rPr>
                <w:b/>
              </w:rPr>
              <w:t>Name of PCN</w:t>
            </w:r>
            <w:r w:rsidR="00224180">
              <w:rPr>
                <w:b/>
              </w:rPr>
              <w:t>:</w:t>
            </w:r>
            <w:r w:rsidRPr="00224180">
              <w:rPr>
                <w:b/>
              </w:rPr>
              <w:t xml:space="preserve"> </w:t>
            </w:r>
          </w:p>
          <w:p w:rsidR="00D3282A" w:rsidRPr="00224180" w:rsidRDefault="00D3282A" w:rsidP="00D3282A">
            <w:pPr>
              <w:rPr>
                <w:b/>
              </w:rPr>
            </w:pPr>
          </w:p>
          <w:p w:rsidR="00D3282A" w:rsidRDefault="00D3282A" w:rsidP="00D3282A">
            <w:r w:rsidRPr="00224180">
              <w:rPr>
                <w:b/>
              </w:rPr>
              <w:t xml:space="preserve">PCN lead for this </w:t>
            </w:r>
            <w:proofErr w:type="gramStart"/>
            <w:r w:rsidRPr="00224180">
              <w:rPr>
                <w:b/>
              </w:rPr>
              <w:t>area</w:t>
            </w:r>
            <w:r>
              <w:t xml:space="preserve"> </w:t>
            </w:r>
            <w:r w:rsidR="00224180">
              <w:t>:</w:t>
            </w:r>
            <w:proofErr w:type="gramEnd"/>
          </w:p>
        </w:tc>
        <w:tc>
          <w:tcPr>
            <w:tcW w:w="6300" w:type="dxa"/>
            <w:shd w:val="clear" w:color="auto" w:fill="D9E2F3" w:themeFill="accent1" w:themeFillTint="33"/>
          </w:tcPr>
          <w:p w:rsidR="00D3282A" w:rsidRDefault="00224180" w:rsidP="00D3282A">
            <w:pPr>
              <w:rPr>
                <w:b/>
              </w:rPr>
            </w:pPr>
            <w:r w:rsidRPr="00224180">
              <w:rPr>
                <w:b/>
              </w:rPr>
              <w:t>Constituent Practices:</w:t>
            </w:r>
          </w:p>
          <w:p w:rsidR="001815DF" w:rsidRDefault="001815DF" w:rsidP="00D3282A">
            <w:pPr>
              <w:rPr>
                <w:b/>
              </w:rPr>
            </w:pPr>
          </w:p>
          <w:p w:rsidR="001815DF" w:rsidRDefault="001815DF" w:rsidP="00D3282A">
            <w:pPr>
              <w:rPr>
                <w:b/>
              </w:rPr>
            </w:pPr>
          </w:p>
          <w:p w:rsidR="001815DF" w:rsidRDefault="001815DF" w:rsidP="00D3282A">
            <w:pPr>
              <w:rPr>
                <w:b/>
              </w:rPr>
            </w:pPr>
          </w:p>
          <w:p w:rsidR="001815DF" w:rsidRPr="00224180" w:rsidRDefault="001815DF" w:rsidP="00D3282A">
            <w:pPr>
              <w:rPr>
                <w:b/>
              </w:rPr>
            </w:pPr>
            <w:r>
              <w:rPr>
                <w:b/>
              </w:rPr>
              <w:t xml:space="preserve">Date Plan </w:t>
            </w:r>
            <w:proofErr w:type="gramStart"/>
            <w:r>
              <w:rPr>
                <w:b/>
              </w:rPr>
              <w:t>Agreed :</w:t>
            </w:r>
            <w:proofErr w:type="gramEnd"/>
          </w:p>
        </w:tc>
      </w:tr>
    </w:tbl>
    <w:p w:rsidR="00DF01B0" w:rsidRDefault="00DF01B0" w:rsidP="00D3282A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256"/>
        <w:gridCol w:w="4252"/>
        <w:gridCol w:w="2410"/>
        <w:gridCol w:w="1559"/>
        <w:gridCol w:w="2552"/>
      </w:tblGrid>
      <w:tr w:rsidR="009A1CA9" w:rsidTr="00822054">
        <w:trPr>
          <w:tblHeader/>
        </w:trPr>
        <w:tc>
          <w:tcPr>
            <w:tcW w:w="3256" w:type="dxa"/>
            <w:shd w:val="clear" w:color="auto" w:fill="F2F2F2" w:themeFill="background1" w:themeFillShade="F2"/>
          </w:tcPr>
          <w:p w:rsidR="0096343C" w:rsidRDefault="009A1CA9" w:rsidP="00D3282A">
            <w:pPr>
              <w:rPr>
                <w:b/>
              </w:rPr>
            </w:pPr>
            <w:r w:rsidRPr="00DF01B0">
              <w:rPr>
                <w:b/>
              </w:rPr>
              <w:t>PCN Objective</w:t>
            </w:r>
          </w:p>
          <w:p w:rsidR="00F66ABA" w:rsidRDefault="00F66ABA" w:rsidP="00D3282A">
            <w:pPr>
              <w:rPr>
                <w:b/>
              </w:rPr>
            </w:pPr>
          </w:p>
          <w:p w:rsidR="009A1CA9" w:rsidRPr="00F66ABA" w:rsidRDefault="00433F40" w:rsidP="00D3282A">
            <w:pPr>
              <w:rPr>
                <w:b/>
                <w:sz w:val="22"/>
                <w:szCs w:val="22"/>
              </w:rPr>
            </w:pPr>
            <w:r w:rsidRPr="00F66ABA">
              <w:rPr>
                <w:b/>
                <w:sz w:val="22"/>
                <w:szCs w:val="22"/>
              </w:rPr>
              <w:t>(S</w:t>
            </w:r>
            <w:r w:rsidR="0096343C" w:rsidRPr="00F66ABA">
              <w:rPr>
                <w:b/>
                <w:sz w:val="22"/>
                <w:szCs w:val="22"/>
              </w:rPr>
              <w:t xml:space="preserve">pecific, Measurable, </w:t>
            </w:r>
            <w:r w:rsidR="00F66ABA" w:rsidRPr="00F66ABA">
              <w:rPr>
                <w:b/>
                <w:sz w:val="22"/>
                <w:szCs w:val="22"/>
              </w:rPr>
              <w:t>Achievable</w:t>
            </w:r>
            <w:r w:rsidR="00EF09F0" w:rsidRPr="00F66ABA">
              <w:rPr>
                <w:b/>
                <w:sz w:val="22"/>
                <w:szCs w:val="22"/>
              </w:rPr>
              <w:t>, Relevant and Time</w:t>
            </w:r>
            <w:r w:rsidR="00F66ABA" w:rsidRPr="00F66ABA">
              <w:rPr>
                <w:b/>
                <w:sz w:val="22"/>
                <w:szCs w:val="22"/>
              </w:rPr>
              <w:t>-Bound</w:t>
            </w:r>
            <w:r w:rsidRPr="00F66AB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9A1CA9" w:rsidRPr="00DF01B0" w:rsidRDefault="009A1CA9" w:rsidP="00D3282A">
            <w:pPr>
              <w:rPr>
                <w:b/>
              </w:rPr>
            </w:pPr>
            <w:r w:rsidRPr="00DF01B0">
              <w:rPr>
                <w:b/>
              </w:rPr>
              <w:t>Activities</w:t>
            </w:r>
            <w:r w:rsidR="00FF5EBC">
              <w:rPr>
                <w:b/>
              </w:rPr>
              <w:t xml:space="preserve"> / Actions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A1CA9" w:rsidRPr="00DF01B0" w:rsidRDefault="009A1CA9" w:rsidP="00D3282A">
            <w:pPr>
              <w:rPr>
                <w:b/>
              </w:rPr>
            </w:pPr>
            <w:r w:rsidRPr="00DF01B0">
              <w:rPr>
                <w:b/>
              </w:rPr>
              <w:t xml:space="preserve">Outcomes / Measures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A1CA9" w:rsidRPr="00DF01B0" w:rsidRDefault="009A1CA9" w:rsidP="00D3282A">
            <w:pPr>
              <w:rPr>
                <w:b/>
              </w:rPr>
            </w:pPr>
            <w:r w:rsidRPr="00DF01B0">
              <w:rPr>
                <w:b/>
              </w:rPr>
              <w:t xml:space="preserve">Time Frames 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A1CA9" w:rsidRPr="00DF01B0" w:rsidRDefault="009A1CA9" w:rsidP="00D3282A">
            <w:pPr>
              <w:rPr>
                <w:b/>
              </w:rPr>
            </w:pPr>
            <w:r>
              <w:rPr>
                <w:b/>
              </w:rPr>
              <w:t xml:space="preserve">Progress (Interim and Final </w:t>
            </w:r>
          </w:p>
          <w:p w:rsidR="009A1CA9" w:rsidRPr="00DF01B0" w:rsidRDefault="009A1CA9" w:rsidP="00D3282A">
            <w:pPr>
              <w:rPr>
                <w:b/>
              </w:rPr>
            </w:pPr>
            <w:r w:rsidRPr="00DF01B0">
              <w:rPr>
                <w:b/>
              </w:rPr>
              <w:t xml:space="preserve">End of Year </w:t>
            </w:r>
          </w:p>
        </w:tc>
      </w:tr>
      <w:tr w:rsidR="0015026E" w:rsidTr="00F502DA">
        <w:tc>
          <w:tcPr>
            <w:tcW w:w="14029" w:type="dxa"/>
            <w:gridSpan w:val="5"/>
            <w:shd w:val="clear" w:color="auto" w:fill="F2F2F2" w:themeFill="background1" w:themeFillShade="F2"/>
          </w:tcPr>
          <w:p w:rsidR="0015026E" w:rsidRDefault="0015026E" w:rsidP="00D3282A">
            <w:r>
              <w:rPr>
                <w:b/>
              </w:rPr>
              <w:t xml:space="preserve">PCN Wide – Peer Review Meetings </w:t>
            </w:r>
          </w:p>
        </w:tc>
      </w:tr>
      <w:tr w:rsidR="0015026E" w:rsidTr="00822054">
        <w:tc>
          <w:tcPr>
            <w:tcW w:w="3256" w:type="dxa"/>
          </w:tcPr>
          <w:p w:rsidR="0015026E" w:rsidRPr="00FD1E44" w:rsidRDefault="00E06EC7" w:rsidP="00D3282A">
            <w:pPr>
              <w:rPr>
                <w:i/>
                <w:sz w:val="22"/>
                <w:szCs w:val="22"/>
              </w:rPr>
            </w:pPr>
            <w:r w:rsidRPr="00FD1E44">
              <w:rPr>
                <w:i/>
                <w:sz w:val="22"/>
                <w:szCs w:val="22"/>
              </w:rPr>
              <w:t>PCN convenes t</w:t>
            </w:r>
            <w:r w:rsidR="003D167E" w:rsidRPr="00FD1E44">
              <w:rPr>
                <w:i/>
                <w:sz w:val="22"/>
                <w:szCs w:val="22"/>
              </w:rPr>
              <w:t>hree</w:t>
            </w:r>
            <w:r w:rsidRPr="00FD1E44">
              <w:rPr>
                <w:i/>
                <w:sz w:val="22"/>
                <w:szCs w:val="22"/>
              </w:rPr>
              <w:t xml:space="preserve"> cancer early diagnosis planning and shared learning events</w:t>
            </w:r>
            <w:r w:rsidR="00AC162B" w:rsidRPr="00FD1E44">
              <w:rPr>
                <w:i/>
                <w:sz w:val="22"/>
                <w:szCs w:val="22"/>
              </w:rPr>
              <w:t xml:space="preserve"> between October 2020 and March 2021. For all constituent practices </w:t>
            </w:r>
          </w:p>
        </w:tc>
        <w:tc>
          <w:tcPr>
            <w:tcW w:w="4252" w:type="dxa"/>
          </w:tcPr>
          <w:p w:rsidR="00FD1E44" w:rsidRDefault="00820EF0" w:rsidP="001E40FA">
            <w:pPr>
              <w:rPr>
                <w:sz w:val="22"/>
                <w:szCs w:val="22"/>
              </w:rPr>
            </w:pPr>
            <w:r w:rsidRPr="00E80FA1">
              <w:rPr>
                <w:b/>
                <w:sz w:val="22"/>
                <w:szCs w:val="22"/>
              </w:rPr>
              <w:t xml:space="preserve">PCN – Convene First Planning </w:t>
            </w:r>
            <w:r w:rsidR="00E80FA1" w:rsidRPr="00E80FA1">
              <w:rPr>
                <w:b/>
                <w:sz w:val="22"/>
                <w:szCs w:val="22"/>
              </w:rPr>
              <w:t>M</w:t>
            </w:r>
            <w:r w:rsidRPr="00E80FA1">
              <w:rPr>
                <w:b/>
                <w:sz w:val="22"/>
                <w:szCs w:val="22"/>
              </w:rPr>
              <w:t>eeting</w:t>
            </w:r>
            <w:r w:rsidRPr="00820EF0">
              <w:rPr>
                <w:sz w:val="22"/>
                <w:szCs w:val="22"/>
              </w:rPr>
              <w:t xml:space="preserve"> </w:t>
            </w:r>
            <w:r w:rsidR="00E80FA1">
              <w:rPr>
                <w:sz w:val="22"/>
                <w:szCs w:val="22"/>
              </w:rPr>
              <w:t>T</w:t>
            </w:r>
            <w:r w:rsidRPr="00820EF0">
              <w:rPr>
                <w:sz w:val="22"/>
                <w:szCs w:val="22"/>
              </w:rPr>
              <w:t xml:space="preserve">o review – PHE Cancer Data, </w:t>
            </w:r>
            <w:r w:rsidR="00E827C0">
              <w:rPr>
                <w:sz w:val="22"/>
                <w:szCs w:val="22"/>
              </w:rPr>
              <w:t>Cancer Audits practices and outcomes (if in place), safety netting process. To inform practice plans.</w:t>
            </w:r>
          </w:p>
          <w:p w:rsidR="000000FE" w:rsidRPr="00822054" w:rsidRDefault="00E827C0" w:rsidP="001E4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84C86" w:rsidRDefault="00884C86" w:rsidP="001E40FA">
            <w:pPr>
              <w:rPr>
                <w:sz w:val="22"/>
                <w:szCs w:val="22"/>
              </w:rPr>
            </w:pPr>
            <w:r w:rsidRPr="00884C86">
              <w:rPr>
                <w:b/>
                <w:sz w:val="22"/>
                <w:szCs w:val="22"/>
              </w:rPr>
              <w:t xml:space="preserve">PCN – Convenes </w:t>
            </w:r>
            <w:r>
              <w:rPr>
                <w:b/>
                <w:sz w:val="22"/>
                <w:szCs w:val="22"/>
              </w:rPr>
              <w:t xml:space="preserve">midpoint </w:t>
            </w:r>
            <w:r w:rsidRPr="00884C86">
              <w:rPr>
                <w:b/>
                <w:sz w:val="22"/>
                <w:szCs w:val="22"/>
              </w:rPr>
              <w:t>shared learning</w:t>
            </w:r>
            <w:r>
              <w:rPr>
                <w:sz w:val="22"/>
                <w:szCs w:val="22"/>
              </w:rPr>
              <w:t xml:space="preserve"> Meeting. Aim to enable practices to share progress and good practice on ED plans. Provide joint learning session with external providers/partners</w:t>
            </w:r>
          </w:p>
          <w:p w:rsidR="00FD1E44" w:rsidRDefault="00FD1E44" w:rsidP="001E40FA">
            <w:pPr>
              <w:rPr>
                <w:sz w:val="22"/>
                <w:szCs w:val="22"/>
              </w:rPr>
            </w:pPr>
          </w:p>
          <w:p w:rsidR="00FD1E44" w:rsidRDefault="00884C86" w:rsidP="001E40FA">
            <w:pPr>
              <w:rPr>
                <w:sz w:val="22"/>
                <w:szCs w:val="22"/>
              </w:rPr>
            </w:pPr>
            <w:proofErr w:type="gramStart"/>
            <w:r w:rsidRPr="00FD1E44">
              <w:rPr>
                <w:b/>
                <w:sz w:val="22"/>
                <w:szCs w:val="22"/>
              </w:rPr>
              <w:t>PCN  -</w:t>
            </w:r>
            <w:proofErr w:type="gramEnd"/>
            <w:r w:rsidRPr="00FD1E44">
              <w:rPr>
                <w:b/>
                <w:sz w:val="22"/>
                <w:szCs w:val="22"/>
              </w:rPr>
              <w:t xml:space="preserve"> Convenes End of Year Reflection and Progress E</w:t>
            </w:r>
            <w:r w:rsidR="00822054" w:rsidRPr="00FD1E44">
              <w:rPr>
                <w:b/>
                <w:sz w:val="22"/>
                <w:szCs w:val="22"/>
              </w:rPr>
              <w:t>vent</w:t>
            </w:r>
            <w:r w:rsidR="00822054">
              <w:rPr>
                <w:sz w:val="22"/>
                <w:szCs w:val="22"/>
              </w:rPr>
              <w:t xml:space="preserve"> . </w:t>
            </w:r>
            <w:r w:rsidR="00FD1E44">
              <w:rPr>
                <w:sz w:val="22"/>
                <w:szCs w:val="22"/>
              </w:rPr>
              <w:t xml:space="preserve">Capture improvements made against improvement plans. </w:t>
            </w:r>
          </w:p>
          <w:p w:rsidR="00FD1E44" w:rsidRPr="00820EF0" w:rsidRDefault="00FD1E44" w:rsidP="001E40F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A4586" w:rsidRPr="00FE1883" w:rsidRDefault="007A4586" w:rsidP="00D3282A">
            <w:pPr>
              <w:rPr>
                <w:sz w:val="22"/>
                <w:szCs w:val="22"/>
              </w:rPr>
            </w:pPr>
            <w:r w:rsidRPr="00FE1883">
              <w:rPr>
                <w:sz w:val="22"/>
                <w:szCs w:val="22"/>
              </w:rPr>
              <w:t xml:space="preserve">PCN Cancer trends/challenges ID and discussed. </w:t>
            </w:r>
          </w:p>
          <w:p w:rsidR="00A14343" w:rsidRPr="00FE1883" w:rsidRDefault="00A14343" w:rsidP="00D3282A">
            <w:pPr>
              <w:rPr>
                <w:sz w:val="22"/>
                <w:szCs w:val="22"/>
              </w:rPr>
            </w:pPr>
          </w:p>
          <w:p w:rsidR="00A14343" w:rsidRPr="00FE1883" w:rsidRDefault="007A4586" w:rsidP="00D3282A">
            <w:pPr>
              <w:rPr>
                <w:sz w:val="22"/>
                <w:szCs w:val="22"/>
              </w:rPr>
            </w:pPr>
            <w:r w:rsidRPr="00FE1883">
              <w:rPr>
                <w:sz w:val="22"/>
                <w:szCs w:val="22"/>
              </w:rPr>
              <w:t>Practice Plans Agreed</w:t>
            </w:r>
          </w:p>
          <w:p w:rsidR="0015026E" w:rsidRPr="00FE1883" w:rsidRDefault="007A4586" w:rsidP="00D3282A">
            <w:pPr>
              <w:rPr>
                <w:sz w:val="22"/>
                <w:szCs w:val="22"/>
              </w:rPr>
            </w:pPr>
            <w:r w:rsidRPr="00FE1883">
              <w:rPr>
                <w:sz w:val="22"/>
                <w:szCs w:val="22"/>
              </w:rPr>
              <w:t xml:space="preserve"> </w:t>
            </w:r>
          </w:p>
          <w:p w:rsidR="007A4586" w:rsidRPr="0090425A" w:rsidRDefault="007A4586" w:rsidP="00D3282A">
            <w:pPr>
              <w:rPr>
                <w:sz w:val="22"/>
                <w:szCs w:val="22"/>
              </w:rPr>
            </w:pPr>
            <w:r w:rsidRPr="0090425A">
              <w:rPr>
                <w:sz w:val="22"/>
                <w:szCs w:val="22"/>
              </w:rPr>
              <w:t>Cancer S</w:t>
            </w:r>
            <w:r w:rsidR="00A14343" w:rsidRPr="0090425A">
              <w:rPr>
                <w:sz w:val="22"/>
                <w:szCs w:val="22"/>
              </w:rPr>
              <w:t xml:space="preserve">creening – Target Low Participation Group Agreed. </w:t>
            </w:r>
          </w:p>
          <w:p w:rsidR="00FE1883" w:rsidRPr="0090425A" w:rsidRDefault="00FE1883" w:rsidP="00D3282A">
            <w:pPr>
              <w:rPr>
                <w:sz w:val="22"/>
                <w:szCs w:val="22"/>
              </w:rPr>
            </w:pPr>
          </w:p>
          <w:p w:rsidR="00FE1883" w:rsidRDefault="0090425A" w:rsidP="00D3282A">
            <w:r w:rsidRPr="0090425A">
              <w:rPr>
                <w:sz w:val="22"/>
                <w:szCs w:val="22"/>
              </w:rPr>
              <w:t>Improvement Metrics captured and recorded.</w:t>
            </w:r>
            <w:r>
              <w:t xml:space="preserve"> </w:t>
            </w:r>
          </w:p>
        </w:tc>
        <w:tc>
          <w:tcPr>
            <w:tcW w:w="1559" w:type="dxa"/>
          </w:tcPr>
          <w:p w:rsidR="0015026E" w:rsidRPr="00FD1E44" w:rsidRDefault="002E0C67" w:rsidP="00D3282A">
            <w:pPr>
              <w:rPr>
                <w:sz w:val="22"/>
                <w:szCs w:val="22"/>
              </w:rPr>
            </w:pPr>
            <w:r w:rsidRPr="00FD1E44">
              <w:rPr>
                <w:sz w:val="22"/>
                <w:szCs w:val="22"/>
              </w:rPr>
              <w:t>By End of October 2020</w:t>
            </w:r>
          </w:p>
        </w:tc>
        <w:tc>
          <w:tcPr>
            <w:tcW w:w="2552" w:type="dxa"/>
          </w:tcPr>
          <w:p w:rsidR="0015026E" w:rsidRDefault="0015026E" w:rsidP="00D3282A"/>
          <w:p w:rsidR="00FF5EBC" w:rsidRDefault="00FF5EBC" w:rsidP="00D3282A"/>
          <w:p w:rsidR="000000FE" w:rsidRDefault="000000FE" w:rsidP="00D3282A"/>
          <w:p w:rsidR="000000FE" w:rsidRDefault="000000FE" w:rsidP="00D3282A"/>
          <w:p w:rsidR="000000FE" w:rsidRDefault="000000FE" w:rsidP="00D3282A"/>
        </w:tc>
      </w:tr>
      <w:tr w:rsidR="003C22E8" w:rsidTr="00F502DA">
        <w:tc>
          <w:tcPr>
            <w:tcW w:w="14029" w:type="dxa"/>
            <w:gridSpan w:val="5"/>
            <w:shd w:val="clear" w:color="auto" w:fill="F2F2F2" w:themeFill="background1" w:themeFillShade="F2"/>
          </w:tcPr>
          <w:p w:rsidR="003C22E8" w:rsidRDefault="003C22E8" w:rsidP="00EA25E3">
            <w:pPr>
              <w:pStyle w:val="NoSpacing"/>
              <w:jc w:val="both"/>
            </w:pPr>
            <w:r w:rsidRPr="004C75D6">
              <w:rPr>
                <w:b/>
              </w:rPr>
              <w:t>Cancer Screening</w:t>
            </w:r>
            <w:r w:rsidR="00D40CBE">
              <w:rPr>
                <w:b/>
              </w:rPr>
              <w:t xml:space="preserve"> </w:t>
            </w:r>
            <w:proofErr w:type="gramStart"/>
            <w:r w:rsidR="00D40CBE">
              <w:rPr>
                <w:b/>
              </w:rPr>
              <w:t xml:space="preserve">Examples </w:t>
            </w:r>
            <w:r w:rsidRPr="004C75D6">
              <w:rPr>
                <w:b/>
              </w:rPr>
              <w:t xml:space="preserve"> </w:t>
            </w:r>
            <w:r w:rsidR="00DD0AB6">
              <w:rPr>
                <w:b/>
              </w:rPr>
              <w:t>-</w:t>
            </w:r>
            <w:proofErr w:type="gramEnd"/>
            <w:r w:rsidR="00DD0AB6" w:rsidRPr="008B2EDF">
              <w:t xml:space="preserve"> </w:t>
            </w:r>
            <w:r w:rsidR="008B2EDF" w:rsidRPr="008B2EDF">
              <w:t>R</w:t>
            </w:r>
            <w:r w:rsidR="00DD0AB6" w:rsidRPr="008B2EDF">
              <w:t>educe</w:t>
            </w:r>
            <w:r w:rsidR="00DD0AB6">
              <w:t xml:space="preserve"> inequitable uptake of screening </w:t>
            </w:r>
            <w:r w:rsidR="00EA25E3">
              <w:t xml:space="preserve">- </w:t>
            </w:r>
            <w:r w:rsidR="005121B9">
              <w:t>E</w:t>
            </w:r>
            <w:r w:rsidR="00EA25E3" w:rsidRPr="00216298">
              <w:t>ngage with a</w:t>
            </w:r>
            <w:r w:rsidR="00CD3E7B">
              <w:t xml:space="preserve"> patient</w:t>
            </w:r>
            <w:r w:rsidR="00EA25E3" w:rsidRPr="00216298">
              <w:t xml:space="preserve"> group </w:t>
            </w:r>
            <w:r w:rsidR="00CD3E7B">
              <w:t xml:space="preserve">identified as having </w:t>
            </w:r>
            <w:r w:rsidR="00EA25E3">
              <w:t>low-participation</w:t>
            </w:r>
            <w:r w:rsidR="00CD3E7B">
              <w:t xml:space="preserve"> rates. </w:t>
            </w:r>
          </w:p>
        </w:tc>
      </w:tr>
      <w:tr w:rsidR="009A1CA9" w:rsidTr="00822054">
        <w:tc>
          <w:tcPr>
            <w:tcW w:w="3256" w:type="dxa"/>
          </w:tcPr>
          <w:p w:rsidR="009A1CA9" w:rsidRPr="00DE4D28" w:rsidRDefault="009A1CA9" w:rsidP="00D3282A">
            <w:pPr>
              <w:rPr>
                <w:i/>
                <w:sz w:val="22"/>
                <w:szCs w:val="22"/>
              </w:rPr>
            </w:pPr>
            <w:r w:rsidRPr="00DE4D28">
              <w:rPr>
                <w:i/>
                <w:sz w:val="22"/>
                <w:szCs w:val="22"/>
              </w:rPr>
              <w:t xml:space="preserve">Reduce </w:t>
            </w:r>
            <w:r w:rsidR="00A46ECA" w:rsidRPr="00DE4D28">
              <w:rPr>
                <w:i/>
                <w:sz w:val="22"/>
                <w:szCs w:val="22"/>
              </w:rPr>
              <w:t xml:space="preserve">variation in cervical screening uptake in women </w:t>
            </w:r>
            <w:r w:rsidRPr="00DE4D28">
              <w:rPr>
                <w:i/>
                <w:sz w:val="22"/>
                <w:szCs w:val="22"/>
              </w:rPr>
              <w:t>aged 25 – 49 years of age</w:t>
            </w:r>
            <w:r w:rsidR="00CE3BF0" w:rsidRPr="00DE4D28">
              <w:rPr>
                <w:i/>
                <w:sz w:val="22"/>
                <w:szCs w:val="22"/>
              </w:rPr>
              <w:t xml:space="preserve"> by </w:t>
            </w:r>
            <w:r w:rsidR="009E3668" w:rsidRPr="00DE4D28">
              <w:rPr>
                <w:i/>
                <w:sz w:val="22"/>
                <w:szCs w:val="22"/>
              </w:rPr>
              <w:t>x</w:t>
            </w:r>
            <w:r w:rsidR="00CE3BF0" w:rsidRPr="00DE4D28">
              <w:rPr>
                <w:i/>
                <w:sz w:val="22"/>
                <w:szCs w:val="22"/>
              </w:rPr>
              <w:t>%</w:t>
            </w:r>
            <w:r w:rsidR="009E3668" w:rsidRPr="00DE4D28">
              <w:rPr>
                <w:i/>
                <w:sz w:val="22"/>
                <w:szCs w:val="22"/>
              </w:rPr>
              <w:t xml:space="preserve">. In 6 months. </w:t>
            </w:r>
            <w:r w:rsidR="00A46ECA" w:rsidRPr="00DE4D28">
              <w:rPr>
                <w:i/>
                <w:sz w:val="22"/>
                <w:szCs w:val="22"/>
              </w:rPr>
              <w:t>Across constituent practices.</w:t>
            </w:r>
          </w:p>
        </w:tc>
        <w:tc>
          <w:tcPr>
            <w:tcW w:w="4252" w:type="dxa"/>
          </w:tcPr>
          <w:p w:rsidR="009A1CA9" w:rsidRPr="0096343C" w:rsidRDefault="009A1CA9" w:rsidP="001E40FA">
            <w:pPr>
              <w:rPr>
                <w:sz w:val="22"/>
                <w:szCs w:val="22"/>
              </w:rPr>
            </w:pPr>
            <w:r w:rsidRPr="0096343C">
              <w:rPr>
                <w:b/>
                <w:sz w:val="22"/>
                <w:szCs w:val="22"/>
              </w:rPr>
              <w:t>Practi</w:t>
            </w:r>
            <w:r w:rsidR="00FF5EBC">
              <w:rPr>
                <w:b/>
                <w:sz w:val="22"/>
                <w:szCs w:val="22"/>
              </w:rPr>
              <w:t xml:space="preserve">ce </w:t>
            </w:r>
            <w:r w:rsidRPr="0096343C">
              <w:rPr>
                <w:b/>
                <w:sz w:val="22"/>
                <w:szCs w:val="22"/>
              </w:rPr>
              <w:t>baselines are established</w:t>
            </w:r>
            <w:r w:rsidRPr="0096343C">
              <w:rPr>
                <w:sz w:val="22"/>
                <w:szCs w:val="22"/>
              </w:rPr>
              <w:t xml:space="preserve"> using NHS Digital data for 2019/2020. </w:t>
            </w:r>
            <w:r w:rsidR="007F0D51" w:rsidRPr="0096343C">
              <w:rPr>
                <w:sz w:val="22"/>
                <w:szCs w:val="22"/>
              </w:rPr>
              <w:t>Or PHE Fingertips 2018/19</w:t>
            </w:r>
          </w:p>
          <w:p w:rsidR="009A1CA9" w:rsidRPr="0096343C" w:rsidRDefault="009A1CA9" w:rsidP="001E40FA">
            <w:pPr>
              <w:rPr>
                <w:sz w:val="22"/>
                <w:szCs w:val="22"/>
              </w:rPr>
            </w:pPr>
          </w:p>
          <w:p w:rsidR="009A1CA9" w:rsidRPr="0096343C" w:rsidRDefault="009A1CA9" w:rsidP="001E40FA">
            <w:pPr>
              <w:rPr>
                <w:sz w:val="22"/>
                <w:szCs w:val="22"/>
              </w:rPr>
            </w:pPr>
            <w:r w:rsidRPr="00C85EAA">
              <w:rPr>
                <w:sz w:val="22"/>
                <w:szCs w:val="22"/>
                <w:shd w:val="clear" w:color="auto" w:fill="F2F2F2" w:themeFill="background1" w:themeFillShade="F2"/>
              </w:rPr>
              <w:t>Practices conduct a non – responder</w:t>
            </w:r>
            <w:r w:rsidRPr="0096343C">
              <w:rPr>
                <w:sz w:val="22"/>
                <w:szCs w:val="22"/>
              </w:rPr>
              <w:t xml:space="preserve"> search for women in this age group.</w:t>
            </w:r>
            <w:r w:rsidR="002D5A58" w:rsidRPr="0096343C">
              <w:rPr>
                <w:sz w:val="22"/>
                <w:szCs w:val="22"/>
              </w:rPr>
              <w:t xml:space="preserve"> Using cervical screening Non -Responder Codes</w:t>
            </w:r>
            <w:r w:rsidR="00C86150">
              <w:rPr>
                <w:sz w:val="22"/>
                <w:szCs w:val="22"/>
              </w:rPr>
              <w:t xml:space="preserve">. </w:t>
            </w:r>
          </w:p>
          <w:p w:rsidR="007168DD" w:rsidRPr="0096343C" w:rsidRDefault="007168DD" w:rsidP="001E40FA">
            <w:pPr>
              <w:rPr>
                <w:sz w:val="22"/>
                <w:szCs w:val="22"/>
              </w:rPr>
            </w:pPr>
          </w:p>
          <w:p w:rsidR="00FB159E" w:rsidRPr="0096343C" w:rsidRDefault="00FB159E" w:rsidP="001E40FA">
            <w:pPr>
              <w:rPr>
                <w:sz w:val="22"/>
                <w:szCs w:val="22"/>
              </w:rPr>
            </w:pPr>
            <w:r w:rsidRPr="0096343C">
              <w:rPr>
                <w:sz w:val="22"/>
                <w:szCs w:val="22"/>
              </w:rPr>
              <w:t xml:space="preserve">Non – Clinical Cancer Champions review and consider across practices </w:t>
            </w:r>
            <w:r w:rsidR="00395D88" w:rsidRPr="0096343C">
              <w:rPr>
                <w:sz w:val="22"/>
                <w:szCs w:val="22"/>
              </w:rPr>
              <w:t xml:space="preserve">engagement </w:t>
            </w:r>
            <w:r w:rsidRPr="0096343C">
              <w:rPr>
                <w:sz w:val="22"/>
                <w:szCs w:val="22"/>
              </w:rPr>
              <w:t xml:space="preserve">approaches adopted. </w:t>
            </w:r>
          </w:p>
          <w:p w:rsidR="00395D88" w:rsidRPr="0096343C" w:rsidRDefault="00395D88" w:rsidP="001E40FA">
            <w:pPr>
              <w:rPr>
                <w:sz w:val="22"/>
                <w:szCs w:val="22"/>
              </w:rPr>
            </w:pPr>
          </w:p>
          <w:p w:rsidR="007168DD" w:rsidRPr="0096343C" w:rsidRDefault="00983B77" w:rsidP="001E4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168DD" w:rsidRPr="0096343C">
              <w:rPr>
                <w:sz w:val="22"/>
                <w:szCs w:val="22"/>
              </w:rPr>
              <w:t>ractices identify three methods to engage women in this age group</w:t>
            </w:r>
            <w:r w:rsidR="00486100">
              <w:rPr>
                <w:sz w:val="22"/>
                <w:szCs w:val="22"/>
              </w:rPr>
              <w:t xml:space="preserve"> </w:t>
            </w:r>
            <w:r w:rsidR="00C86150">
              <w:rPr>
                <w:sz w:val="22"/>
                <w:szCs w:val="22"/>
              </w:rPr>
              <w:t>(</w:t>
            </w:r>
            <w:r w:rsidR="003E60CD">
              <w:rPr>
                <w:sz w:val="22"/>
                <w:szCs w:val="22"/>
              </w:rPr>
              <w:t>access CRUK Good Practice Guide).</w:t>
            </w:r>
            <w:r w:rsidR="00976239" w:rsidRPr="0096343C">
              <w:rPr>
                <w:sz w:val="22"/>
                <w:szCs w:val="22"/>
              </w:rPr>
              <w:t xml:space="preserve"> </w:t>
            </w:r>
            <w:r w:rsidR="003E60CD">
              <w:rPr>
                <w:sz w:val="22"/>
                <w:szCs w:val="22"/>
              </w:rPr>
              <w:t>E</w:t>
            </w:r>
            <w:r w:rsidR="00976239" w:rsidRPr="0096343C">
              <w:rPr>
                <w:sz w:val="22"/>
                <w:szCs w:val="22"/>
              </w:rPr>
              <w:t>.g. working with social prescribers to support community engagement, text messaging, pre-invite practice “birthday letters”</w:t>
            </w:r>
          </w:p>
          <w:p w:rsidR="00252BD0" w:rsidRPr="0096343C" w:rsidRDefault="00252BD0" w:rsidP="001E40FA">
            <w:pPr>
              <w:rPr>
                <w:sz w:val="22"/>
                <w:szCs w:val="22"/>
              </w:rPr>
            </w:pPr>
          </w:p>
          <w:p w:rsidR="00252BD0" w:rsidRDefault="00252BD0" w:rsidP="001E40FA">
            <w:pPr>
              <w:rPr>
                <w:sz w:val="22"/>
                <w:szCs w:val="22"/>
              </w:rPr>
            </w:pPr>
            <w:r w:rsidRPr="0096343C">
              <w:rPr>
                <w:sz w:val="22"/>
                <w:szCs w:val="22"/>
              </w:rPr>
              <w:t xml:space="preserve">Support staff updates and clinical staff training / briefing to increase knowledge from CRUK Facilitators. </w:t>
            </w:r>
          </w:p>
          <w:p w:rsidR="00297AA5" w:rsidRDefault="00297AA5" w:rsidP="001E40FA">
            <w:pPr>
              <w:rPr>
                <w:sz w:val="22"/>
                <w:szCs w:val="22"/>
              </w:rPr>
            </w:pPr>
          </w:p>
          <w:p w:rsidR="00297AA5" w:rsidRPr="0096343C" w:rsidRDefault="00297AA5" w:rsidP="001E4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 work plans at PCN Review meeting and share outcomes and practice at second PCN support meeting.</w:t>
            </w:r>
          </w:p>
        </w:tc>
        <w:tc>
          <w:tcPr>
            <w:tcW w:w="2410" w:type="dxa"/>
          </w:tcPr>
          <w:p w:rsidR="006C11F5" w:rsidRPr="0096343C" w:rsidRDefault="006C11F5" w:rsidP="00D3282A">
            <w:pPr>
              <w:rPr>
                <w:sz w:val="22"/>
                <w:szCs w:val="22"/>
              </w:rPr>
            </w:pPr>
            <w:r w:rsidRPr="0096343C">
              <w:rPr>
                <w:sz w:val="22"/>
                <w:szCs w:val="22"/>
              </w:rPr>
              <w:t xml:space="preserve">Establish </w:t>
            </w:r>
            <w:r w:rsidR="00B83ECE" w:rsidRPr="0096343C">
              <w:rPr>
                <w:sz w:val="22"/>
                <w:szCs w:val="22"/>
              </w:rPr>
              <w:t xml:space="preserve">baseline coverage using PHE Fingertips and </w:t>
            </w:r>
            <w:r w:rsidR="008873CF" w:rsidRPr="0096343C">
              <w:rPr>
                <w:sz w:val="22"/>
                <w:szCs w:val="22"/>
              </w:rPr>
              <w:t>NHS Digital.</w:t>
            </w:r>
          </w:p>
          <w:p w:rsidR="00974113" w:rsidRPr="0096343C" w:rsidRDefault="00974113" w:rsidP="00D3282A">
            <w:pPr>
              <w:rPr>
                <w:sz w:val="22"/>
                <w:szCs w:val="22"/>
              </w:rPr>
            </w:pPr>
            <w:r w:rsidRPr="0096343C">
              <w:rPr>
                <w:b/>
                <w:sz w:val="22"/>
                <w:szCs w:val="22"/>
              </w:rPr>
              <w:t xml:space="preserve">Process </w:t>
            </w:r>
            <w:r w:rsidR="00256D43">
              <w:rPr>
                <w:b/>
                <w:sz w:val="22"/>
                <w:szCs w:val="22"/>
              </w:rPr>
              <w:t>Measures -</w:t>
            </w:r>
          </w:p>
          <w:p w:rsidR="009A1CA9" w:rsidRPr="0096343C" w:rsidRDefault="009A1CA9" w:rsidP="00D3282A">
            <w:pPr>
              <w:rPr>
                <w:sz w:val="22"/>
                <w:szCs w:val="22"/>
              </w:rPr>
            </w:pPr>
            <w:r w:rsidRPr="0096343C">
              <w:rPr>
                <w:sz w:val="22"/>
                <w:szCs w:val="22"/>
              </w:rPr>
              <w:t xml:space="preserve">Variation is reduced by </w:t>
            </w:r>
            <w:r w:rsidR="00583E59" w:rsidRPr="0096343C">
              <w:rPr>
                <w:sz w:val="22"/>
                <w:szCs w:val="22"/>
              </w:rPr>
              <w:t>x</w:t>
            </w:r>
            <w:r w:rsidRPr="0096343C">
              <w:rPr>
                <w:sz w:val="22"/>
                <w:szCs w:val="22"/>
              </w:rPr>
              <w:t xml:space="preserve">% by </w:t>
            </w:r>
            <w:r w:rsidR="00583E59" w:rsidRPr="0096343C">
              <w:rPr>
                <w:sz w:val="22"/>
                <w:szCs w:val="22"/>
              </w:rPr>
              <w:t>March</w:t>
            </w:r>
            <w:r w:rsidRPr="0096343C">
              <w:rPr>
                <w:sz w:val="22"/>
                <w:szCs w:val="22"/>
              </w:rPr>
              <w:t xml:space="preserve"> 2021. </w:t>
            </w:r>
          </w:p>
          <w:p w:rsidR="0010409B" w:rsidRPr="0096343C" w:rsidRDefault="0010409B" w:rsidP="00D3282A">
            <w:pPr>
              <w:rPr>
                <w:sz w:val="22"/>
                <w:szCs w:val="22"/>
              </w:rPr>
            </w:pPr>
          </w:p>
          <w:p w:rsidR="00FC5C72" w:rsidRPr="0096343C" w:rsidRDefault="00FC5C72" w:rsidP="00D3282A">
            <w:pPr>
              <w:rPr>
                <w:sz w:val="22"/>
                <w:szCs w:val="22"/>
              </w:rPr>
            </w:pPr>
            <w:r w:rsidRPr="0096343C">
              <w:rPr>
                <w:sz w:val="22"/>
                <w:szCs w:val="22"/>
              </w:rPr>
              <w:t>Proportion of</w:t>
            </w:r>
            <w:r w:rsidR="009C6E38">
              <w:rPr>
                <w:sz w:val="22"/>
                <w:szCs w:val="22"/>
              </w:rPr>
              <w:t xml:space="preserve"> previous</w:t>
            </w:r>
            <w:r w:rsidRPr="0096343C">
              <w:rPr>
                <w:sz w:val="22"/>
                <w:szCs w:val="22"/>
              </w:rPr>
              <w:t xml:space="preserve"> </w:t>
            </w:r>
            <w:r w:rsidR="00486100">
              <w:rPr>
                <w:sz w:val="22"/>
                <w:szCs w:val="22"/>
              </w:rPr>
              <w:t xml:space="preserve">non- responders </w:t>
            </w:r>
            <w:r w:rsidR="003B1BDF">
              <w:rPr>
                <w:sz w:val="22"/>
                <w:szCs w:val="22"/>
              </w:rPr>
              <w:t xml:space="preserve">screened. </w:t>
            </w:r>
            <w:r w:rsidRPr="0096343C">
              <w:rPr>
                <w:sz w:val="22"/>
                <w:szCs w:val="22"/>
              </w:rPr>
              <w:t xml:space="preserve"> </w:t>
            </w:r>
          </w:p>
          <w:p w:rsidR="0010409B" w:rsidRPr="0096343C" w:rsidRDefault="0010409B" w:rsidP="00D3282A">
            <w:pPr>
              <w:rPr>
                <w:sz w:val="22"/>
                <w:szCs w:val="22"/>
              </w:rPr>
            </w:pPr>
          </w:p>
          <w:p w:rsidR="0010409B" w:rsidRPr="0096343C" w:rsidRDefault="0010409B" w:rsidP="00D3282A">
            <w:pPr>
              <w:rPr>
                <w:sz w:val="22"/>
                <w:szCs w:val="22"/>
              </w:rPr>
            </w:pPr>
            <w:r w:rsidRPr="0096343C">
              <w:rPr>
                <w:b/>
                <w:sz w:val="22"/>
                <w:szCs w:val="22"/>
              </w:rPr>
              <w:t>Outcome Measure</w:t>
            </w:r>
            <w:r w:rsidRPr="0096343C">
              <w:rPr>
                <w:sz w:val="22"/>
                <w:szCs w:val="22"/>
              </w:rPr>
              <w:t xml:space="preserve"> –</w:t>
            </w:r>
          </w:p>
          <w:p w:rsidR="0010409B" w:rsidRPr="0096343C" w:rsidRDefault="00124DFE" w:rsidP="00D3282A">
            <w:pPr>
              <w:rPr>
                <w:sz w:val="22"/>
                <w:szCs w:val="22"/>
              </w:rPr>
            </w:pPr>
            <w:r w:rsidRPr="0096343C">
              <w:rPr>
                <w:sz w:val="22"/>
                <w:szCs w:val="22"/>
              </w:rPr>
              <w:t xml:space="preserve">Staff trained and more confident in raising the issue of screening. </w:t>
            </w:r>
          </w:p>
        </w:tc>
        <w:tc>
          <w:tcPr>
            <w:tcW w:w="1559" w:type="dxa"/>
          </w:tcPr>
          <w:p w:rsidR="009A1CA9" w:rsidRDefault="00256D43" w:rsidP="00D3282A">
            <w:r>
              <w:t xml:space="preserve">Oct 2020 – </w:t>
            </w:r>
          </w:p>
          <w:p w:rsidR="00256D43" w:rsidRDefault="00256D43" w:rsidP="00D3282A">
            <w:r>
              <w:t>March 2021</w:t>
            </w:r>
          </w:p>
        </w:tc>
        <w:tc>
          <w:tcPr>
            <w:tcW w:w="2552" w:type="dxa"/>
          </w:tcPr>
          <w:p w:rsidR="009A1CA9" w:rsidRDefault="009A1CA9" w:rsidP="00D3282A"/>
        </w:tc>
      </w:tr>
      <w:tr w:rsidR="009A1CA9" w:rsidTr="00822054">
        <w:tc>
          <w:tcPr>
            <w:tcW w:w="3256" w:type="dxa"/>
          </w:tcPr>
          <w:p w:rsidR="009A1CA9" w:rsidRPr="00CF35A1" w:rsidRDefault="00E51C29" w:rsidP="00D3282A">
            <w:pPr>
              <w:rPr>
                <w:i/>
                <w:iCs/>
              </w:rPr>
            </w:pPr>
            <w:r w:rsidRPr="00CF35A1">
              <w:rPr>
                <w:i/>
                <w:iCs/>
                <w:sz w:val="22"/>
                <w:szCs w:val="22"/>
              </w:rPr>
              <w:t>Practices</w:t>
            </w:r>
            <w:r w:rsidR="00891090">
              <w:rPr>
                <w:i/>
                <w:iCs/>
                <w:sz w:val="22"/>
                <w:szCs w:val="22"/>
              </w:rPr>
              <w:t xml:space="preserve"> increase the proportion of LD patients who receive easy read invitations and support to bowel screening. By</w:t>
            </w:r>
            <w:r w:rsidRPr="00CF35A1">
              <w:rPr>
                <w:i/>
                <w:iCs/>
                <w:sz w:val="22"/>
                <w:szCs w:val="22"/>
              </w:rPr>
              <w:t xml:space="preserve"> shar</w:t>
            </w:r>
            <w:r w:rsidR="00891090">
              <w:rPr>
                <w:i/>
                <w:iCs/>
                <w:sz w:val="22"/>
                <w:szCs w:val="22"/>
              </w:rPr>
              <w:t>ing</w:t>
            </w:r>
            <w:r w:rsidRPr="00CF35A1">
              <w:rPr>
                <w:i/>
                <w:iCs/>
                <w:sz w:val="22"/>
                <w:szCs w:val="22"/>
              </w:rPr>
              <w:t xml:space="preserve"> details of patients with a learning disability with the regional bowel screening hub</w:t>
            </w:r>
            <w:r w:rsidR="003601A7" w:rsidRPr="00CF35A1">
              <w:rPr>
                <w:i/>
                <w:iCs/>
                <w:sz w:val="22"/>
                <w:szCs w:val="22"/>
              </w:rPr>
              <w:t xml:space="preserve"> by Jan 2020. </w:t>
            </w:r>
            <w:r w:rsidR="00891090">
              <w:rPr>
                <w:i/>
                <w:iCs/>
                <w:sz w:val="22"/>
                <w:szCs w:val="22"/>
              </w:rPr>
              <w:t xml:space="preserve">(Patient consent not required). </w:t>
            </w:r>
          </w:p>
        </w:tc>
        <w:tc>
          <w:tcPr>
            <w:tcW w:w="4252" w:type="dxa"/>
          </w:tcPr>
          <w:p w:rsidR="009A1CA9" w:rsidRDefault="00A92C12" w:rsidP="00D3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practices agree to</w:t>
            </w:r>
            <w:r w:rsidR="00F26E05">
              <w:rPr>
                <w:sz w:val="22"/>
                <w:szCs w:val="22"/>
              </w:rPr>
              <w:t xml:space="preserve"> review LD registers and share details with the</w:t>
            </w:r>
            <w:r w:rsidR="00CF35A1">
              <w:rPr>
                <w:sz w:val="22"/>
                <w:szCs w:val="22"/>
              </w:rPr>
              <w:t xml:space="preserve"> bowel screening</w:t>
            </w:r>
            <w:r w:rsidR="00F26E05">
              <w:rPr>
                <w:sz w:val="22"/>
                <w:szCs w:val="22"/>
              </w:rPr>
              <w:t xml:space="preserve"> hub</w:t>
            </w:r>
            <w:r w:rsidR="00F55964">
              <w:rPr>
                <w:sz w:val="22"/>
                <w:szCs w:val="22"/>
              </w:rPr>
              <w:t>.</w:t>
            </w:r>
          </w:p>
          <w:p w:rsidR="002901E2" w:rsidRDefault="002901E2" w:rsidP="00D3282A">
            <w:pPr>
              <w:rPr>
                <w:sz w:val="22"/>
                <w:szCs w:val="22"/>
              </w:rPr>
            </w:pPr>
          </w:p>
          <w:p w:rsidR="002901E2" w:rsidRPr="0096343C" w:rsidRDefault="002901E2" w:rsidP="00D3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Practices baseline the no. of LD patients on the practice register eligible to be screened (i.e. those aged 60 – 74</w:t>
            </w:r>
            <w:r w:rsidR="00E427E0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rs old)</w:t>
            </w:r>
            <w:r w:rsidR="002D0D97">
              <w:rPr>
                <w:sz w:val="22"/>
                <w:szCs w:val="22"/>
              </w:rPr>
              <w:t xml:space="preserve">. To capture number of patients that will benefit. </w:t>
            </w:r>
          </w:p>
        </w:tc>
        <w:tc>
          <w:tcPr>
            <w:tcW w:w="2410" w:type="dxa"/>
          </w:tcPr>
          <w:p w:rsidR="009A1CA9" w:rsidRDefault="003601A7" w:rsidP="00D3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proportion of </w:t>
            </w:r>
            <w:r w:rsidR="00E427E0">
              <w:rPr>
                <w:sz w:val="22"/>
                <w:szCs w:val="22"/>
              </w:rPr>
              <w:t xml:space="preserve">LD </w:t>
            </w:r>
            <w:r>
              <w:rPr>
                <w:sz w:val="22"/>
                <w:szCs w:val="22"/>
              </w:rPr>
              <w:t xml:space="preserve">patients that </w:t>
            </w:r>
            <w:r w:rsidR="00E427E0">
              <w:rPr>
                <w:sz w:val="22"/>
                <w:szCs w:val="22"/>
              </w:rPr>
              <w:t xml:space="preserve">will </w:t>
            </w:r>
            <w:r>
              <w:rPr>
                <w:sz w:val="22"/>
                <w:szCs w:val="22"/>
              </w:rPr>
              <w:t>receive easy read invitations and support</w:t>
            </w:r>
            <w:r w:rsidR="00CF35A1">
              <w:rPr>
                <w:sz w:val="22"/>
                <w:szCs w:val="22"/>
              </w:rPr>
              <w:t xml:space="preserve">. </w:t>
            </w:r>
          </w:p>
          <w:p w:rsidR="00F55964" w:rsidRDefault="00F55964" w:rsidP="00D3282A">
            <w:pPr>
              <w:rPr>
                <w:sz w:val="22"/>
                <w:szCs w:val="22"/>
              </w:rPr>
            </w:pPr>
          </w:p>
          <w:p w:rsidR="00F55964" w:rsidRPr="0096343C" w:rsidRDefault="00915065" w:rsidP="00D3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learning disability patients </w:t>
            </w:r>
            <w:r w:rsidR="00B25637">
              <w:rPr>
                <w:sz w:val="22"/>
                <w:szCs w:val="22"/>
              </w:rPr>
              <w:t xml:space="preserve">participated in screening for the first time. </w:t>
            </w:r>
          </w:p>
        </w:tc>
        <w:tc>
          <w:tcPr>
            <w:tcW w:w="1559" w:type="dxa"/>
          </w:tcPr>
          <w:p w:rsidR="009A1CA9" w:rsidRPr="0096343C" w:rsidRDefault="00433F40" w:rsidP="00D3282A">
            <w:pPr>
              <w:rPr>
                <w:sz w:val="22"/>
                <w:szCs w:val="22"/>
              </w:rPr>
            </w:pPr>
            <w:r w:rsidRPr="0096343C">
              <w:rPr>
                <w:sz w:val="22"/>
                <w:szCs w:val="22"/>
              </w:rPr>
              <w:t>Oct 20 - March 21</w:t>
            </w:r>
          </w:p>
        </w:tc>
        <w:tc>
          <w:tcPr>
            <w:tcW w:w="2552" w:type="dxa"/>
          </w:tcPr>
          <w:p w:rsidR="009A1CA9" w:rsidRDefault="009A1CA9" w:rsidP="00D3282A"/>
        </w:tc>
      </w:tr>
      <w:tr w:rsidR="009A1CA9" w:rsidTr="00822054">
        <w:tc>
          <w:tcPr>
            <w:tcW w:w="3256" w:type="dxa"/>
          </w:tcPr>
          <w:p w:rsidR="009A1CA9" w:rsidRPr="00EB652D" w:rsidRDefault="002F3557" w:rsidP="00D3282A">
            <w:pPr>
              <w:rPr>
                <w:i/>
                <w:sz w:val="22"/>
                <w:szCs w:val="22"/>
              </w:rPr>
            </w:pPr>
            <w:r w:rsidRPr="00EB652D">
              <w:rPr>
                <w:i/>
                <w:sz w:val="22"/>
                <w:szCs w:val="22"/>
              </w:rPr>
              <w:t xml:space="preserve">All practices aim to contact x% of </w:t>
            </w:r>
            <w:r w:rsidR="00F039B9" w:rsidRPr="00EB652D">
              <w:rPr>
                <w:i/>
                <w:sz w:val="22"/>
                <w:szCs w:val="22"/>
              </w:rPr>
              <w:t>learning disability</w:t>
            </w:r>
            <w:r w:rsidR="00910F20" w:rsidRPr="00EB652D">
              <w:rPr>
                <w:i/>
                <w:sz w:val="22"/>
                <w:szCs w:val="22"/>
              </w:rPr>
              <w:t xml:space="preserve">, </w:t>
            </w:r>
            <w:r w:rsidRPr="00EB652D">
              <w:rPr>
                <w:i/>
                <w:sz w:val="22"/>
                <w:szCs w:val="22"/>
              </w:rPr>
              <w:t xml:space="preserve">non-responders </w:t>
            </w:r>
            <w:r w:rsidR="00F14D8F" w:rsidRPr="00EB652D">
              <w:rPr>
                <w:i/>
                <w:sz w:val="22"/>
                <w:szCs w:val="22"/>
              </w:rPr>
              <w:t xml:space="preserve">to x </w:t>
            </w:r>
            <w:r w:rsidR="00F46C1C" w:rsidRPr="00EB652D">
              <w:rPr>
                <w:i/>
                <w:sz w:val="22"/>
                <w:szCs w:val="22"/>
              </w:rPr>
              <w:t>screening,</w:t>
            </w:r>
            <w:r w:rsidR="00F14D8F" w:rsidRPr="00EB652D">
              <w:rPr>
                <w:i/>
                <w:sz w:val="22"/>
                <w:szCs w:val="22"/>
              </w:rPr>
              <w:t xml:space="preserve"> </w:t>
            </w:r>
            <w:r w:rsidRPr="00EB652D">
              <w:rPr>
                <w:i/>
                <w:sz w:val="22"/>
                <w:szCs w:val="22"/>
              </w:rPr>
              <w:t>over next 6 months. And provide appropriate support for informed consent/best interest decisions</w:t>
            </w:r>
            <w:r w:rsidR="00DE4D28" w:rsidRPr="00EB65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9A1CA9" w:rsidRDefault="00F446F8" w:rsidP="00D3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Practices run clinical system reports to identify non – responders</w:t>
            </w:r>
            <w:r w:rsidR="005F6FEA">
              <w:rPr>
                <w:sz w:val="22"/>
                <w:szCs w:val="22"/>
              </w:rPr>
              <w:t>. S</w:t>
            </w:r>
            <w:r w:rsidR="00376C0E">
              <w:rPr>
                <w:sz w:val="22"/>
                <w:szCs w:val="22"/>
              </w:rPr>
              <w:t>earch parameters – LD register, eligibility age for</w:t>
            </w:r>
            <w:r w:rsidR="00693430">
              <w:rPr>
                <w:sz w:val="22"/>
                <w:szCs w:val="22"/>
              </w:rPr>
              <w:t xml:space="preserve"> th</w:t>
            </w:r>
            <w:r w:rsidR="004D5F6A">
              <w:rPr>
                <w:sz w:val="22"/>
                <w:szCs w:val="22"/>
              </w:rPr>
              <w:t>e</w:t>
            </w:r>
            <w:r w:rsidR="00693430">
              <w:rPr>
                <w:sz w:val="22"/>
                <w:szCs w:val="22"/>
              </w:rPr>
              <w:t xml:space="preserve"> </w:t>
            </w:r>
            <w:r w:rsidR="004D5F6A">
              <w:rPr>
                <w:sz w:val="22"/>
                <w:szCs w:val="22"/>
              </w:rPr>
              <w:t>screening</w:t>
            </w:r>
            <w:r w:rsidR="00693430">
              <w:rPr>
                <w:sz w:val="22"/>
                <w:szCs w:val="22"/>
              </w:rPr>
              <w:t xml:space="preserve"> programme </w:t>
            </w:r>
            <w:r w:rsidR="00376C0E">
              <w:rPr>
                <w:sz w:val="22"/>
                <w:szCs w:val="22"/>
              </w:rPr>
              <w:t>and screening non – responder codes</w:t>
            </w:r>
            <w:r w:rsidR="00EC317B">
              <w:rPr>
                <w:sz w:val="22"/>
                <w:szCs w:val="22"/>
              </w:rPr>
              <w:t xml:space="preserve">. </w:t>
            </w:r>
          </w:p>
          <w:p w:rsidR="004D5F6A" w:rsidRDefault="004D5F6A" w:rsidP="00D3282A">
            <w:pPr>
              <w:rPr>
                <w:sz w:val="22"/>
                <w:szCs w:val="22"/>
              </w:rPr>
            </w:pPr>
          </w:p>
          <w:p w:rsidR="004D5F6A" w:rsidRPr="0096343C" w:rsidRDefault="004D5F6A" w:rsidP="00D3282A">
            <w:pPr>
              <w:rPr>
                <w:sz w:val="22"/>
                <w:szCs w:val="22"/>
              </w:rPr>
            </w:pPr>
          </w:p>
          <w:p w:rsidR="006B6631" w:rsidRPr="0096343C" w:rsidRDefault="006B6631" w:rsidP="00D3282A">
            <w:pPr>
              <w:rPr>
                <w:sz w:val="22"/>
                <w:szCs w:val="22"/>
              </w:rPr>
            </w:pPr>
          </w:p>
          <w:p w:rsidR="006B6631" w:rsidRPr="0096343C" w:rsidRDefault="006B6631" w:rsidP="00D3282A">
            <w:pPr>
              <w:rPr>
                <w:sz w:val="22"/>
                <w:szCs w:val="22"/>
              </w:rPr>
            </w:pPr>
          </w:p>
          <w:p w:rsidR="006B6631" w:rsidRPr="0096343C" w:rsidRDefault="006B6631" w:rsidP="00D3282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A1CA9" w:rsidRDefault="00DC7EDC" w:rsidP="00D3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LD patients contacted</w:t>
            </w:r>
          </w:p>
          <w:p w:rsidR="00DC7EDC" w:rsidRDefault="00DC7EDC" w:rsidP="00D3282A">
            <w:pPr>
              <w:rPr>
                <w:sz w:val="22"/>
                <w:szCs w:val="22"/>
              </w:rPr>
            </w:pPr>
          </w:p>
          <w:p w:rsidR="00DC7EDC" w:rsidRDefault="00DC7EDC" w:rsidP="00D3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LD patients </w:t>
            </w:r>
            <w:r w:rsidR="00524F3B">
              <w:rPr>
                <w:sz w:val="22"/>
                <w:szCs w:val="22"/>
              </w:rPr>
              <w:t xml:space="preserve">contacted taking up screening offer. </w:t>
            </w:r>
          </w:p>
          <w:p w:rsidR="00524F3B" w:rsidRDefault="00524F3B" w:rsidP="00D3282A">
            <w:pPr>
              <w:rPr>
                <w:sz w:val="22"/>
                <w:szCs w:val="22"/>
              </w:rPr>
            </w:pPr>
          </w:p>
          <w:p w:rsidR="00524F3B" w:rsidRDefault="00524F3B" w:rsidP="00D3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patients supported via community LD team. </w:t>
            </w:r>
          </w:p>
          <w:p w:rsidR="00125648" w:rsidRPr="0096343C" w:rsidRDefault="00125648" w:rsidP="00D3282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1CA9" w:rsidRPr="0096343C" w:rsidRDefault="00910F20" w:rsidP="00D3282A">
            <w:pPr>
              <w:rPr>
                <w:sz w:val="22"/>
                <w:szCs w:val="22"/>
              </w:rPr>
            </w:pPr>
            <w:r w:rsidRPr="0096343C">
              <w:rPr>
                <w:sz w:val="22"/>
                <w:szCs w:val="22"/>
              </w:rPr>
              <w:t>Oct 20 - March 21</w:t>
            </w:r>
          </w:p>
        </w:tc>
        <w:tc>
          <w:tcPr>
            <w:tcW w:w="2552" w:type="dxa"/>
          </w:tcPr>
          <w:p w:rsidR="009A1CA9" w:rsidRDefault="009A1CA9" w:rsidP="00D3282A"/>
        </w:tc>
      </w:tr>
      <w:tr w:rsidR="009A1CA9" w:rsidTr="00822054">
        <w:tc>
          <w:tcPr>
            <w:tcW w:w="3256" w:type="dxa"/>
          </w:tcPr>
          <w:p w:rsidR="009A1CA9" w:rsidRPr="00EB652D" w:rsidRDefault="002F3557" w:rsidP="00D3282A">
            <w:pPr>
              <w:rPr>
                <w:i/>
                <w:sz w:val="22"/>
                <w:szCs w:val="22"/>
              </w:rPr>
            </w:pPr>
            <w:r w:rsidRPr="00EB652D">
              <w:rPr>
                <w:i/>
                <w:sz w:val="22"/>
                <w:szCs w:val="22"/>
              </w:rPr>
              <w:t>All PCN Non – Clinical Cancer Champions contact x% of cervical screening non – responders aged 25 – 49yrs living in high deprivation areas. To support informed decision making.</w:t>
            </w:r>
            <w:r w:rsidR="00B70652" w:rsidRPr="00EB652D">
              <w:rPr>
                <w:i/>
                <w:sz w:val="22"/>
                <w:szCs w:val="22"/>
              </w:rPr>
              <w:t xml:space="preserve"> By March 2020.</w:t>
            </w:r>
          </w:p>
        </w:tc>
        <w:tc>
          <w:tcPr>
            <w:tcW w:w="4252" w:type="dxa"/>
          </w:tcPr>
          <w:p w:rsidR="009A1CA9" w:rsidRDefault="004F7859" w:rsidP="00D3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identify pts within this cohort. Establish baseline position.</w:t>
            </w:r>
          </w:p>
          <w:p w:rsidR="000428F7" w:rsidRDefault="000428F7" w:rsidP="00D3282A">
            <w:pPr>
              <w:rPr>
                <w:sz w:val="22"/>
                <w:szCs w:val="22"/>
              </w:rPr>
            </w:pPr>
          </w:p>
          <w:p w:rsidR="0054490A" w:rsidRDefault="0054490A" w:rsidP="00D3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Practices initiates te</w:t>
            </w:r>
            <w:r w:rsidR="00651ED8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t messaging advice and reminder service, telephone follow – up, targeted discussions during baby </w:t>
            </w:r>
            <w:proofErr w:type="spellStart"/>
            <w:r>
              <w:rPr>
                <w:sz w:val="22"/>
                <w:szCs w:val="22"/>
              </w:rPr>
              <w:t>imms</w:t>
            </w:r>
            <w:proofErr w:type="spellEnd"/>
            <w:r>
              <w:rPr>
                <w:sz w:val="22"/>
                <w:szCs w:val="22"/>
              </w:rPr>
              <w:t xml:space="preserve"> clinics</w:t>
            </w:r>
            <w:r w:rsidR="00651ED8">
              <w:rPr>
                <w:sz w:val="22"/>
                <w:szCs w:val="22"/>
              </w:rPr>
              <w:t xml:space="preserve"> </w:t>
            </w:r>
          </w:p>
          <w:p w:rsidR="00651ED8" w:rsidRDefault="00651ED8" w:rsidP="00D3282A">
            <w:pPr>
              <w:rPr>
                <w:sz w:val="22"/>
                <w:szCs w:val="22"/>
              </w:rPr>
            </w:pPr>
          </w:p>
          <w:p w:rsidR="00651ED8" w:rsidRDefault="00651ED8" w:rsidP="00D3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Practices engage and use Regional Screening Saves Lives materials.</w:t>
            </w:r>
          </w:p>
          <w:p w:rsidR="00651ED8" w:rsidRDefault="00651ED8" w:rsidP="00D3282A">
            <w:pPr>
              <w:rPr>
                <w:sz w:val="22"/>
                <w:szCs w:val="22"/>
              </w:rPr>
            </w:pPr>
          </w:p>
          <w:p w:rsidR="00651ED8" w:rsidRDefault="00651ED8" w:rsidP="00D3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Practices access support from CRUK Facilitator. </w:t>
            </w:r>
          </w:p>
          <w:p w:rsidR="00651ED8" w:rsidRDefault="00651ED8" w:rsidP="00D3282A">
            <w:pPr>
              <w:rPr>
                <w:sz w:val="22"/>
                <w:szCs w:val="22"/>
              </w:rPr>
            </w:pPr>
          </w:p>
          <w:p w:rsidR="00651ED8" w:rsidRPr="0096343C" w:rsidRDefault="00651ED8" w:rsidP="00D3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Practices share projects, learning and outcomes at PCN Peer Review meeting. </w:t>
            </w:r>
          </w:p>
        </w:tc>
        <w:tc>
          <w:tcPr>
            <w:tcW w:w="2410" w:type="dxa"/>
          </w:tcPr>
          <w:p w:rsidR="007A309C" w:rsidRDefault="007A309C" w:rsidP="007A3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younger of women contacted</w:t>
            </w:r>
          </w:p>
          <w:p w:rsidR="007A309C" w:rsidRDefault="007A309C" w:rsidP="007A309C">
            <w:pPr>
              <w:rPr>
                <w:sz w:val="22"/>
                <w:szCs w:val="22"/>
              </w:rPr>
            </w:pPr>
          </w:p>
          <w:p w:rsidR="007A309C" w:rsidRDefault="007A309C" w:rsidP="007A3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younger women contacted taking up screening offer. </w:t>
            </w:r>
          </w:p>
          <w:p w:rsidR="007A309C" w:rsidRDefault="007A309C" w:rsidP="007A309C">
            <w:pPr>
              <w:rPr>
                <w:sz w:val="22"/>
                <w:szCs w:val="22"/>
              </w:rPr>
            </w:pPr>
          </w:p>
          <w:p w:rsidR="007A309C" w:rsidRDefault="007A309C" w:rsidP="007A309C">
            <w:pPr>
              <w:rPr>
                <w:sz w:val="22"/>
                <w:szCs w:val="22"/>
              </w:rPr>
            </w:pPr>
          </w:p>
          <w:p w:rsidR="009A1CA9" w:rsidRPr="0096343C" w:rsidRDefault="009A1CA9" w:rsidP="007A30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1CA9" w:rsidRPr="0096343C" w:rsidRDefault="00910F20" w:rsidP="00D3282A">
            <w:pPr>
              <w:rPr>
                <w:sz w:val="22"/>
                <w:szCs w:val="22"/>
              </w:rPr>
            </w:pPr>
            <w:r w:rsidRPr="0096343C">
              <w:rPr>
                <w:sz w:val="22"/>
                <w:szCs w:val="22"/>
              </w:rPr>
              <w:t>Oct 20 - March 21</w:t>
            </w:r>
          </w:p>
        </w:tc>
        <w:tc>
          <w:tcPr>
            <w:tcW w:w="2552" w:type="dxa"/>
          </w:tcPr>
          <w:p w:rsidR="009A1CA9" w:rsidRDefault="009A1CA9" w:rsidP="00D3282A"/>
        </w:tc>
      </w:tr>
      <w:tr w:rsidR="00D94F95" w:rsidTr="00822054">
        <w:tc>
          <w:tcPr>
            <w:tcW w:w="3256" w:type="dxa"/>
          </w:tcPr>
          <w:p w:rsidR="00D94F95" w:rsidRPr="00EB652D" w:rsidRDefault="00AD5967" w:rsidP="00D3282A">
            <w:pPr>
              <w:rPr>
                <w:i/>
                <w:sz w:val="22"/>
                <w:szCs w:val="22"/>
              </w:rPr>
            </w:pPr>
            <w:r w:rsidRPr="00EB652D">
              <w:rPr>
                <w:i/>
                <w:sz w:val="22"/>
                <w:szCs w:val="22"/>
              </w:rPr>
              <w:t xml:space="preserve">To increase </w:t>
            </w:r>
            <w:r w:rsidR="006742C8">
              <w:rPr>
                <w:i/>
                <w:sz w:val="22"/>
                <w:szCs w:val="22"/>
              </w:rPr>
              <w:t xml:space="preserve">the no. of </w:t>
            </w:r>
            <w:r w:rsidRPr="00EB652D">
              <w:rPr>
                <w:i/>
                <w:sz w:val="22"/>
                <w:szCs w:val="22"/>
              </w:rPr>
              <w:t>cervical screening appointments</w:t>
            </w:r>
            <w:r w:rsidR="006742C8">
              <w:rPr>
                <w:i/>
                <w:sz w:val="22"/>
                <w:szCs w:val="22"/>
              </w:rPr>
              <w:t xml:space="preserve"> available across the PCN by x. </w:t>
            </w:r>
            <w:r w:rsidRPr="00EB652D">
              <w:rPr>
                <w:i/>
                <w:sz w:val="22"/>
                <w:szCs w:val="22"/>
              </w:rPr>
              <w:t xml:space="preserve">Constituent </w:t>
            </w:r>
            <w:r w:rsidR="002020E6" w:rsidRPr="00EB652D">
              <w:rPr>
                <w:i/>
                <w:sz w:val="22"/>
                <w:szCs w:val="22"/>
              </w:rPr>
              <w:t>p</w:t>
            </w:r>
            <w:r w:rsidRPr="00EB652D">
              <w:rPr>
                <w:i/>
                <w:sz w:val="22"/>
                <w:szCs w:val="22"/>
              </w:rPr>
              <w:t xml:space="preserve">ractices </w:t>
            </w:r>
            <w:r w:rsidR="002020E6" w:rsidRPr="00EB652D">
              <w:rPr>
                <w:i/>
                <w:sz w:val="22"/>
                <w:szCs w:val="22"/>
              </w:rPr>
              <w:t xml:space="preserve">will </w:t>
            </w:r>
            <w:r w:rsidRPr="00EB652D">
              <w:rPr>
                <w:i/>
                <w:sz w:val="22"/>
                <w:szCs w:val="22"/>
              </w:rPr>
              <w:t xml:space="preserve">work collaboratively to set up shared extended access to cervical screening clinics (e.g. </w:t>
            </w:r>
            <w:r w:rsidR="002020E6" w:rsidRPr="00EB652D">
              <w:rPr>
                <w:i/>
                <w:sz w:val="22"/>
                <w:szCs w:val="22"/>
              </w:rPr>
              <w:t xml:space="preserve"> to increase </w:t>
            </w:r>
            <w:r w:rsidRPr="00EB652D">
              <w:rPr>
                <w:i/>
                <w:sz w:val="22"/>
                <w:szCs w:val="22"/>
              </w:rPr>
              <w:t>evenings and weekend appts)</w:t>
            </w:r>
            <w:r w:rsidR="00AB6268" w:rsidRPr="00EB652D">
              <w:rPr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:rsidR="00D94F95" w:rsidRDefault="00C03898" w:rsidP="00D3282A">
            <w:r>
              <w:t xml:space="preserve">Practices scope and decide when and where and how out of hours screening services can be provided and staffed. </w:t>
            </w:r>
            <w:r w:rsidR="00386C60">
              <w:t>N.B. mindful of COVID19 requirements</w:t>
            </w:r>
          </w:p>
          <w:p w:rsidR="00553BD9" w:rsidRDefault="00553BD9" w:rsidP="00D3282A"/>
          <w:p w:rsidR="00553BD9" w:rsidRDefault="00553BD9" w:rsidP="00D3282A">
            <w:r>
              <w:t xml:space="preserve">Practices gather patient feedback on planned changes. </w:t>
            </w:r>
          </w:p>
          <w:p w:rsidR="00351BE5" w:rsidRDefault="00351BE5" w:rsidP="00D3282A"/>
          <w:p w:rsidR="00351BE5" w:rsidRDefault="00351BE5" w:rsidP="00D3282A">
            <w:r>
              <w:t>Women surveyed about service provided.</w:t>
            </w:r>
          </w:p>
        </w:tc>
        <w:tc>
          <w:tcPr>
            <w:tcW w:w="2410" w:type="dxa"/>
          </w:tcPr>
          <w:p w:rsidR="00D94F95" w:rsidRDefault="00553BD9" w:rsidP="00D3282A">
            <w:r>
              <w:t>No. of extra appointments created</w:t>
            </w:r>
          </w:p>
          <w:p w:rsidR="00B75C40" w:rsidRDefault="00B75C40" w:rsidP="00D3282A"/>
          <w:p w:rsidR="00B75C40" w:rsidRDefault="00B75C40" w:rsidP="00D3282A">
            <w:r>
              <w:t>% increase in women screened (compared to previous year)</w:t>
            </w:r>
          </w:p>
          <w:p w:rsidR="00553BD9" w:rsidRDefault="00553BD9" w:rsidP="00D3282A"/>
          <w:p w:rsidR="00553BD9" w:rsidRDefault="00553BD9" w:rsidP="00D3282A">
            <w:r>
              <w:t>Feedback from patients accessing the service.</w:t>
            </w:r>
          </w:p>
          <w:p w:rsidR="00A72415" w:rsidRDefault="00A72415" w:rsidP="00D3282A"/>
          <w:p w:rsidR="00A72415" w:rsidRDefault="00044F60" w:rsidP="00D3282A">
            <w:r>
              <w:t xml:space="preserve">Balancing outcome – % of patients report reduced waiting time for appointment. </w:t>
            </w:r>
          </w:p>
        </w:tc>
        <w:tc>
          <w:tcPr>
            <w:tcW w:w="1559" w:type="dxa"/>
          </w:tcPr>
          <w:p w:rsidR="00D94F95" w:rsidRDefault="00D94F95" w:rsidP="00D3282A"/>
        </w:tc>
        <w:tc>
          <w:tcPr>
            <w:tcW w:w="2552" w:type="dxa"/>
          </w:tcPr>
          <w:p w:rsidR="006F48DD" w:rsidRDefault="006F48DD" w:rsidP="00D3282A"/>
        </w:tc>
      </w:tr>
      <w:tr w:rsidR="00794691" w:rsidRPr="007517AB" w:rsidTr="007517AB">
        <w:tc>
          <w:tcPr>
            <w:tcW w:w="14029" w:type="dxa"/>
            <w:gridSpan w:val="5"/>
            <w:shd w:val="clear" w:color="auto" w:fill="F2F2F2" w:themeFill="background1" w:themeFillShade="F2"/>
          </w:tcPr>
          <w:p w:rsidR="00794691" w:rsidRPr="007517AB" w:rsidRDefault="00D40CBE" w:rsidP="00794691">
            <w:pPr>
              <w:rPr>
                <w:b/>
              </w:rPr>
            </w:pPr>
            <w:r>
              <w:rPr>
                <w:b/>
              </w:rPr>
              <w:t xml:space="preserve">Examples - </w:t>
            </w:r>
            <w:r w:rsidR="00794691" w:rsidRPr="007517AB">
              <w:rPr>
                <w:b/>
              </w:rPr>
              <w:t xml:space="preserve">Review and Improve Referral Practices </w:t>
            </w:r>
            <w:r w:rsidR="009E4FE4" w:rsidRPr="007517AB">
              <w:rPr>
                <w:b/>
              </w:rPr>
              <w:t xml:space="preserve"> </w:t>
            </w:r>
          </w:p>
        </w:tc>
      </w:tr>
      <w:tr w:rsidR="00794691" w:rsidTr="00822054">
        <w:tc>
          <w:tcPr>
            <w:tcW w:w="3256" w:type="dxa"/>
          </w:tcPr>
          <w:p w:rsidR="009C0C11" w:rsidRDefault="001F57F8" w:rsidP="0017421B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Practices</w:t>
            </w:r>
            <w:r w:rsidR="00CB0790">
              <w:rPr>
                <w:i/>
                <w:iCs/>
              </w:rPr>
              <w:t xml:space="preserve"> set up</w:t>
            </w:r>
            <w:r>
              <w:rPr>
                <w:i/>
                <w:iCs/>
              </w:rPr>
              <w:t xml:space="preserve"> audit</w:t>
            </w:r>
            <w:r w:rsidR="00CB0790">
              <w:rPr>
                <w:i/>
                <w:iCs/>
              </w:rPr>
              <w:t>s</w:t>
            </w:r>
            <w:r w:rsidR="002810E0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r</w:t>
            </w:r>
            <w:r w:rsidR="002810E0">
              <w:rPr>
                <w:i/>
                <w:iCs/>
              </w:rPr>
              <w:t>eflect and share learning</w:t>
            </w:r>
            <w:r w:rsidR="00CB0790">
              <w:rPr>
                <w:i/>
                <w:iCs/>
              </w:rPr>
              <w:t xml:space="preserve"> on</w:t>
            </w:r>
            <w:r>
              <w:rPr>
                <w:i/>
                <w:iCs/>
              </w:rPr>
              <w:t xml:space="preserve"> new cancer cases diagnosed during emergency admission. </w:t>
            </w:r>
          </w:p>
          <w:p w:rsidR="00794691" w:rsidRDefault="00794691" w:rsidP="003B1BDF">
            <w:pPr>
              <w:pStyle w:val="NoSpacing"/>
              <w:jc w:val="both"/>
            </w:pPr>
          </w:p>
        </w:tc>
        <w:tc>
          <w:tcPr>
            <w:tcW w:w="4252" w:type="dxa"/>
          </w:tcPr>
          <w:p w:rsidR="008E56C4" w:rsidRPr="00AF7AF2" w:rsidRDefault="008E56C4" w:rsidP="00794691">
            <w:pPr>
              <w:rPr>
                <w:iCs/>
              </w:rPr>
            </w:pPr>
            <w:r w:rsidRPr="00AF7AF2">
              <w:rPr>
                <w:iCs/>
              </w:rPr>
              <w:t>Set up retrospective audit of patient’s records (including those who have died). Patients</w:t>
            </w:r>
            <w:r w:rsidR="00AF7AF2">
              <w:rPr>
                <w:iCs/>
              </w:rPr>
              <w:t xml:space="preserve"> diagnosed in the last year (or at least 20 consecutive cases)</w:t>
            </w:r>
          </w:p>
          <w:p w:rsidR="008E56C4" w:rsidRPr="00AF7AF2" w:rsidRDefault="008E56C4" w:rsidP="00794691">
            <w:pPr>
              <w:rPr>
                <w:iCs/>
              </w:rPr>
            </w:pPr>
          </w:p>
          <w:p w:rsidR="008E56C4" w:rsidRPr="00AF7AF2" w:rsidRDefault="008E56C4" w:rsidP="00794691">
            <w:pPr>
              <w:rPr>
                <w:iCs/>
              </w:rPr>
            </w:pPr>
          </w:p>
          <w:p w:rsidR="00C54957" w:rsidRDefault="00AF7AF2" w:rsidP="00794691">
            <w:pPr>
              <w:rPr>
                <w:iCs/>
              </w:rPr>
            </w:pPr>
            <w:r>
              <w:rPr>
                <w:iCs/>
              </w:rPr>
              <w:t xml:space="preserve">Use </w:t>
            </w:r>
            <w:r w:rsidR="008E56C4" w:rsidRPr="00AF7AF2">
              <w:rPr>
                <w:iCs/>
              </w:rPr>
              <w:t xml:space="preserve">RCGP Significant Event Analysis </w:t>
            </w:r>
            <w:r>
              <w:rPr>
                <w:iCs/>
              </w:rPr>
              <w:t xml:space="preserve">Tool. </w:t>
            </w:r>
          </w:p>
          <w:p w:rsidR="00C54957" w:rsidRDefault="00C54957" w:rsidP="00794691">
            <w:pPr>
              <w:rPr>
                <w:iCs/>
              </w:rPr>
            </w:pPr>
          </w:p>
          <w:p w:rsidR="00794691" w:rsidRPr="00C54957" w:rsidRDefault="008E56C4" w:rsidP="00794691">
            <w:pPr>
              <w:rPr>
                <w:iCs/>
              </w:rPr>
            </w:pPr>
            <w:r w:rsidRPr="00AF7AF2">
              <w:rPr>
                <w:iCs/>
              </w:rPr>
              <w:t>Share anonymised learning with other practices in PCN</w:t>
            </w:r>
            <w:r w:rsidR="00C54957">
              <w:rPr>
                <w:iCs/>
              </w:rPr>
              <w:t xml:space="preserve"> during peer review. </w:t>
            </w:r>
          </w:p>
        </w:tc>
        <w:tc>
          <w:tcPr>
            <w:tcW w:w="2410" w:type="dxa"/>
          </w:tcPr>
          <w:p w:rsidR="00C54957" w:rsidRDefault="002740BB" w:rsidP="00C54957">
            <w:r w:rsidRPr="00CB0790">
              <w:rPr>
                <w:sz w:val="22"/>
                <w:szCs w:val="22"/>
              </w:rPr>
              <w:t>At PCN Level – the no. of p</w:t>
            </w:r>
            <w:r w:rsidR="00CB0790" w:rsidRPr="00CB0790">
              <w:rPr>
                <w:sz w:val="22"/>
                <w:szCs w:val="22"/>
              </w:rPr>
              <w:t xml:space="preserve">articipating </w:t>
            </w:r>
          </w:p>
          <w:p w:rsidR="00C54957" w:rsidRDefault="00C54957" w:rsidP="00C54957"/>
          <w:p w:rsidR="00C54957" w:rsidRDefault="00C54957" w:rsidP="00C54957">
            <w:r>
              <w:t>No. of cases audited (increased numbers)</w:t>
            </w:r>
          </w:p>
          <w:p w:rsidR="00C54957" w:rsidRDefault="00C54957" w:rsidP="00C54957"/>
          <w:p w:rsidR="00794691" w:rsidRPr="00CB0790" w:rsidRDefault="00C54957" w:rsidP="00C54957">
            <w:pPr>
              <w:rPr>
                <w:sz w:val="22"/>
                <w:szCs w:val="22"/>
              </w:rPr>
            </w:pPr>
            <w:r>
              <w:t>Learning and Practice Imp</w:t>
            </w:r>
            <w:r w:rsidR="00204576">
              <w:t xml:space="preserve">rovements documented </w:t>
            </w:r>
            <w:r w:rsidR="00CB0790" w:rsidRPr="00CB07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794691" w:rsidRDefault="00794691" w:rsidP="00794691"/>
          <w:p w:rsidR="00C54957" w:rsidRDefault="00C54957" w:rsidP="00794691"/>
        </w:tc>
        <w:tc>
          <w:tcPr>
            <w:tcW w:w="2552" w:type="dxa"/>
          </w:tcPr>
          <w:p w:rsidR="00794691" w:rsidRDefault="00794691" w:rsidP="00794691"/>
          <w:p w:rsidR="00794691" w:rsidRDefault="00794691" w:rsidP="00794691"/>
        </w:tc>
      </w:tr>
      <w:tr w:rsidR="004778DD" w:rsidTr="00822054">
        <w:tc>
          <w:tcPr>
            <w:tcW w:w="3256" w:type="dxa"/>
          </w:tcPr>
          <w:p w:rsidR="004778DD" w:rsidRPr="00C4701F" w:rsidRDefault="004778DD" w:rsidP="004778DD">
            <w:pPr>
              <w:pStyle w:val="NoSpacing"/>
            </w:pPr>
            <w:r w:rsidRPr="00C4701F">
              <w:rPr>
                <w:iCs/>
              </w:rPr>
              <w:t xml:space="preserve">Reduce the no. of </w:t>
            </w:r>
            <w:proofErr w:type="gramStart"/>
            <w:r w:rsidRPr="00C4701F">
              <w:rPr>
                <w:iCs/>
              </w:rPr>
              <w:t>incomplete  2</w:t>
            </w:r>
            <w:proofErr w:type="gramEnd"/>
            <w:r w:rsidRPr="00C4701F">
              <w:rPr>
                <w:iCs/>
              </w:rPr>
              <w:t>WW referral forms leaving pr</w:t>
            </w:r>
            <w:r w:rsidR="00B56D63">
              <w:rPr>
                <w:iCs/>
              </w:rPr>
              <w:t>imary care</w:t>
            </w:r>
            <w:r w:rsidRPr="00C4701F">
              <w:rPr>
                <w:iCs/>
              </w:rPr>
              <w:t xml:space="preserve"> </w:t>
            </w:r>
            <w:r w:rsidR="003B5E61" w:rsidRPr="00C4701F">
              <w:rPr>
                <w:iCs/>
              </w:rPr>
              <w:t xml:space="preserve">by October 2020. </w:t>
            </w:r>
          </w:p>
        </w:tc>
        <w:tc>
          <w:tcPr>
            <w:tcW w:w="4252" w:type="dxa"/>
          </w:tcPr>
          <w:p w:rsidR="00C4701F" w:rsidRPr="00641B83" w:rsidRDefault="00C4701F" w:rsidP="00C4701F">
            <w:pPr>
              <w:rPr>
                <w:iCs/>
              </w:rPr>
            </w:pPr>
            <w:r w:rsidRPr="00641B83">
              <w:rPr>
                <w:iCs/>
              </w:rPr>
              <w:t xml:space="preserve">Audit completeness of referral forms. </w:t>
            </w:r>
          </w:p>
          <w:p w:rsidR="00C4701F" w:rsidRPr="00641B83" w:rsidRDefault="00C4701F" w:rsidP="00C4701F">
            <w:pPr>
              <w:rPr>
                <w:iCs/>
              </w:rPr>
            </w:pPr>
          </w:p>
          <w:p w:rsidR="00C4701F" w:rsidRDefault="00C4701F" w:rsidP="00C4701F">
            <w:pPr>
              <w:rPr>
                <w:iCs/>
              </w:rPr>
            </w:pPr>
            <w:r w:rsidRPr="00641B83">
              <w:rPr>
                <w:iCs/>
              </w:rPr>
              <w:t>Arrange reflection and training for 2WW refers related to outcomes.</w:t>
            </w:r>
            <w:r w:rsidR="007C142D">
              <w:rPr>
                <w:iCs/>
              </w:rPr>
              <w:t xml:space="preserve"> Use good practice examples. </w:t>
            </w:r>
          </w:p>
          <w:p w:rsidR="007C142D" w:rsidRDefault="007C142D" w:rsidP="00C4701F">
            <w:pPr>
              <w:rPr>
                <w:iCs/>
              </w:rPr>
            </w:pPr>
          </w:p>
          <w:p w:rsidR="007C142D" w:rsidRPr="00641B83" w:rsidRDefault="007C142D" w:rsidP="00C4701F">
            <w:pPr>
              <w:rPr>
                <w:iCs/>
              </w:rPr>
            </w:pPr>
            <w:r>
              <w:rPr>
                <w:iCs/>
              </w:rPr>
              <w:t>In support of CP</w:t>
            </w:r>
            <w:r w:rsidR="00D65326">
              <w:rPr>
                <w:iCs/>
              </w:rPr>
              <w:t>D – clinical staff to access Gateway C – e- learning module. Improving</w:t>
            </w:r>
            <w:r w:rsidR="007660BF">
              <w:rPr>
                <w:iCs/>
              </w:rPr>
              <w:t xml:space="preserve"> the Quality of Referral </w:t>
            </w:r>
            <w:hyperlink r:id="rId10" w:history="1">
              <w:r w:rsidR="008B3DFB" w:rsidRPr="00644AA2">
                <w:rPr>
                  <w:rStyle w:val="Hyperlink"/>
                  <w:rFonts w:cstheme="minorHAnsi"/>
                </w:rPr>
                <w:t>https://www.gatewayc.org.uk/browse-free-interactive-cancer-courses/</w:t>
              </w:r>
            </w:hyperlink>
          </w:p>
          <w:p w:rsidR="00C4701F" w:rsidRPr="00641B83" w:rsidRDefault="00C4701F" w:rsidP="00C4701F">
            <w:pPr>
              <w:rPr>
                <w:iCs/>
              </w:rPr>
            </w:pPr>
            <w:r w:rsidRPr="00641B83">
              <w:rPr>
                <w:iCs/>
              </w:rPr>
              <w:t xml:space="preserve"> </w:t>
            </w:r>
          </w:p>
          <w:p w:rsidR="004778DD" w:rsidRDefault="00C4701F" w:rsidP="00C4701F">
            <w:proofErr w:type="gramStart"/>
            <w:r w:rsidRPr="00641B83">
              <w:rPr>
                <w:iCs/>
              </w:rPr>
              <w:t>Re  -</w:t>
            </w:r>
            <w:proofErr w:type="gramEnd"/>
            <w:r w:rsidRPr="00641B83">
              <w:rPr>
                <w:iCs/>
              </w:rPr>
              <w:t xml:space="preserve"> audit completeness of referral forms. Identify improvements made.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2410" w:type="dxa"/>
          </w:tcPr>
          <w:p w:rsidR="004778DD" w:rsidRDefault="00D260B8" w:rsidP="004778DD">
            <w:r>
              <w:t>Increase in the number of fully complete referrals (against starting point baseline)</w:t>
            </w:r>
          </w:p>
        </w:tc>
        <w:tc>
          <w:tcPr>
            <w:tcW w:w="1559" w:type="dxa"/>
          </w:tcPr>
          <w:p w:rsidR="00641B83" w:rsidRDefault="00641B83" w:rsidP="00641B83">
            <w:pPr>
              <w:rPr>
                <w:iCs/>
              </w:rPr>
            </w:pPr>
            <w:r w:rsidRPr="00641B83">
              <w:rPr>
                <w:iCs/>
              </w:rPr>
              <w:t xml:space="preserve">Audit notes by January 2021. </w:t>
            </w:r>
          </w:p>
          <w:p w:rsidR="00641B83" w:rsidRPr="00641B83" w:rsidRDefault="00641B83" w:rsidP="00641B83">
            <w:pPr>
              <w:rPr>
                <w:iCs/>
              </w:rPr>
            </w:pPr>
          </w:p>
          <w:p w:rsidR="004778DD" w:rsidRDefault="00641B83" w:rsidP="00641B83">
            <w:r w:rsidRPr="00641B83">
              <w:rPr>
                <w:iCs/>
              </w:rPr>
              <w:t>Anonymised sharing by March 2021</w:t>
            </w:r>
          </w:p>
        </w:tc>
        <w:tc>
          <w:tcPr>
            <w:tcW w:w="2552" w:type="dxa"/>
          </w:tcPr>
          <w:p w:rsidR="004778DD" w:rsidRDefault="004778DD" w:rsidP="004778DD"/>
        </w:tc>
      </w:tr>
      <w:tr w:rsidR="004778DD" w:rsidTr="00822054">
        <w:tc>
          <w:tcPr>
            <w:tcW w:w="3256" w:type="dxa"/>
          </w:tcPr>
          <w:p w:rsidR="004778DD" w:rsidRDefault="004B0057" w:rsidP="004B0057">
            <w:pPr>
              <w:pStyle w:val="NoSpacing"/>
            </w:pPr>
            <w:r>
              <w:t>Practices to undertake retrospective audit of new cancer cases using National Cancer Diagnosis Audit</w:t>
            </w:r>
            <w:r w:rsidR="00962A0F">
              <w:t xml:space="preserve"> (NCDA)</w:t>
            </w:r>
            <w:r>
              <w:t xml:space="preserve"> Tool by 31</w:t>
            </w:r>
            <w:r w:rsidRPr="004B0057">
              <w:rPr>
                <w:vertAlign w:val="superscript"/>
              </w:rPr>
              <w:t>st</w:t>
            </w:r>
            <w:r>
              <w:t xml:space="preserve"> August </w:t>
            </w:r>
            <w:proofErr w:type="gramStart"/>
            <w:r>
              <w:t>2020 .</w:t>
            </w:r>
            <w:proofErr w:type="gramEnd"/>
            <w:r>
              <w:t xml:space="preserve"> </w:t>
            </w:r>
          </w:p>
        </w:tc>
        <w:tc>
          <w:tcPr>
            <w:tcW w:w="4252" w:type="dxa"/>
          </w:tcPr>
          <w:p w:rsidR="00003BF6" w:rsidRDefault="00003BF6" w:rsidP="004778DD">
            <w:r>
              <w:t>W</w:t>
            </w:r>
            <w:r w:rsidR="00962A0F">
              <w:t xml:space="preserve">ith support of </w:t>
            </w:r>
            <w:r>
              <w:t xml:space="preserve">CRUK Facilitators </w:t>
            </w:r>
          </w:p>
          <w:p w:rsidR="004778DD" w:rsidRDefault="004B0057" w:rsidP="004778DD">
            <w:r>
              <w:t xml:space="preserve">Practices </w:t>
            </w:r>
            <w:r w:rsidR="00003BF6">
              <w:t xml:space="preserve">register with NCDA </w:t>
            </w:r>
            <w:r w:rsidR="00962A0F">
              <w:t>before 31</w:t>
            </w:r>
            <w:r w:rsidR="00962A0F" w:rsidRPr="00962A0F">
              <w:rPr>
                <w:vertAlign w:val="superscript"/>
              </w:rPr>
              <w:t>st</w:t>
            </w:r>
            <w:r w:rsidR="00962A0F">
              <w:t xml:space="preserve"> July 2020. </w:t>
            </w:r>
            <w:r w:rsidR="00BC5E95">
              <w:t xml:space="preserve">Complete case </w:t>
            </w:r>
            <w:proofErr w:type="gramStart"/>
            <w:r w:rsidR="00BC5E95">
              <w:t>reviews</w:t>
            </w:r>
            <w:r w:rsidR="00F50F1B">
              <w:t xml:space="preserve"> .</w:t>
            </w:r>
            <w:proofErr w:type="gramEnd"/>
          </w:p>
          <w:p w:rsidR="00962A0F" w:rsidRDefault="00962A0F" w:rsidP="004778DD">
            <w:r>
              <w:t xml:space="preserve">Auditors </w:t>
            </w:r>
            <w:r w:rsidR="00F50F1B">
              <w:t xml:space="preserve">capture and share reflections as they audit. </w:t>
            </w:r>
          </w:p>
          <w:p w:rsidR="003D6D87" w:rsidRDefault="003D6D87" w:rsidP="004778DD"/>
          <w:p w:rsidR="003D6D87" w:rsidRDefault="003D6D87" w:rsidP="004778DD">
            <w:r>
              <w:t xml:space="preserve">Practices access and review audit reports. </w:t>
            </w:r>
            <w:r w:rsidR="009E36C3">
              <w:t xml:space="preserve">Share learning and identify potential improvements </w:t>
            </w:r>
          </w:p>
        </w:tc>
        <w:tc>
          <w:tcPr>
            <w:tcW w:w="2410" w:type="dxa"/>
          </w:tcPr>
          <w:p w:rsidR="004778DD" w:rsidRDefault="009E36C3" w:rsidP="004778DD">
            <w:r>
              <w:t>95 % of cases audited</w:t>
            </w:r>
          </w:p>
          <w:p w:rsidR="009E36C3" w:rsidRDefault="009E36C3" w:rsidP="004778DD"/>
          <w:p w:rsidR="009E36C3" w:rsidRDefault="009E36C3" w:rsidP="004778DD"/>
          <w:p w:rsidR="009E36C3" w:rsidRDefault="009E36C3" w:rsidP="004778DD">
            <w:r>
              <w:t xml:space="preserve">Action plans and learning points from audit </w:t>
            </w:r>
            <w:r w:rsidR="00C1155D">
              <w:t xml:space="preserve">identified across the PCN </w:t>
            </w:r>
          </w:p>
        </w:tc>
        <w:tc>
          <w:tcPr>
            <w:tcW w:w="1559" w:type="dxa"/>
          </w:tcPr>
          <w:p w:rsidR="004778DD" w:rsidRDefault="00734BA7" w:rsidP="004778DD">
            <w:r>
              <w:t>Cases Audited by 31</w:t>
            </w:r>
            <w:r w:rsidRPr="00734BA7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Ausgust</w:t>
            </w:r>
            <w:proofErr w:type="spellEnd"/>
            <w:r>
              <w:t>.</w:t>
            </w:r>
          </w:p>
          <w:p w:rsidR="00734BA7" w:rsidRDefault="00734BA7" w:rsidP="004778DD"/>
          <w:p w:rsidR="00734BA7" w:rsidRDefault="00734BA7" w:rsidP="004778DD">
            <w:r>
              <w:t>Audit reports accessed October 2020.</w:t>
            </w:r>
          </w:p>
          <w:p w:rsidR="00734BA7" w:rsidRDefault="00734BA7" w:rsidP="004778DD"/>
          <w:p w:rsidR="00734BA7" w:rsidRDefault="00734BA7" w:rsidP="004778DD">
            <w:r>
              <w:t xml:space="preserve">Learning and action points identified by Nov/Dec 2020. </w:t>
            </w:r>
          </w:p>
        </w:tc>
        <w:tc>
          <w:tcPr>
            <w:tcW w:w="2552" w:type="dxa"/>
          </w:tcPr>
          <w:p w:rsidR="004778DD" w:rsidRDefault="004778DD" w:rsidP="004778DD"/>
        </w:tc>
      </w:tr>
      <w:tr w:rsidR="004778DD" w:rsidTr="00822054">
        <w:tc>
          <w:tcPr>
            <w:tcW w:w="3256" w:type="dxa"/>
          </w:tcPr>
          <w:p w:rsidR="004778DD" w:rsidRPr="006742C8" w:rsidRDefault="004778DD" w:rsidP="004778DD">
            <w:pPr>
              <w:pStyle w:val="NoSpacing"/>
              <w:jc w:val="both"/>
              <w:rPr>
                <w:b/>
              </w:rPr>
            </w:pPr>
            <w:r w:rsidRPr="006742C8">
              <w:rPr>
                <w:b/>
              </w:rPr>
              <w:t xml:space="preserve">Safety Netting </w:t>
            </w:r>
          </w:p>
          <w:p w:rsidR="004778DD" w:rsidRDefault="004778DD" w:rsidP="004778DD">
            <w:pPr>
              <w:pStyle w:val="NoSpacing"/>
            </w:pPr>
            <w:r>
              <w:t xml:space="preserve">Practices will use the relevant SNOMED code “Delivery of safety netting for patients on urgent referral pathway for suspected cancer” from Oct 2020. </w:t>
            </w:r>
          </w:p>
          <w:p w:rsidR="004778DD" w:rsidRDefault="004778DD" w:rsidP="004778DD"/>
        </w:tc>
        <w:tc>
          <w:tcPr>
            <w:tcW w:w="4252" w:type="dxa"/>
          </w:tcPr>
          <w:p w:rsidR="004778DD" w:rsidRDefault="004778DD" w:rsidP="004778DD"/>
        </w:tc>
        <w:tc>
          <w:tcPr>
            <w:tcW w:w="2410" w:type="dxa"/>
          </w:tcPr>
          <w:p w:rsidR="004778DD" w:rsidRDefault="004778DD" w:rsidP="004778DD"/>
        </w:tc>
        <w:tc>
          <w:tcPr>
            <w:tcW w:w="1559" w:type="dxa"/>
          </w:tcPr>
          <w:p w:rsidR="004778DD" w:rsidRDefault="004778DD" w:rsidP="004778DD"/>
        </w:tc>
        <w:tc>
          <w:tcPr>
            <w:tcW w:w="2552" w:type="dxa"/>
          </w:tcPr>
          <w:p w:rsidR="004778DD" w:rsidRDefault="004778DD" w:rsidP="004778DD"/>
        </w:tc>
      </w:tr>
    </w:tbl>
    <w:p w:rsidR="00DF01B0" w:rsidRDefault="00DF01B0" w:rsidP="00D3282A"/>
    <w:sectPr w:rsidR="00DF01B0" w:rsidSect="00D3282A">
      <w:footerReference w:type="defaul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0FA6" w:rsidRDefault="008F0FA6" w:rsidP="00967FDC">
      <w:r>
        <w:separator/>
      </w:r>
    </w:p>
  </w:endnote>
  <w:endnote w:type="continuationSeparator" w:id="0">
    <w:p w:rsidR="008F0FA6" w:rsidRDefault="008F0FA6" w:rsidP="0096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221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7C0" w:rsidRDefault="00B947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47C0" w:rsidRDefault="00B94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0FA6" w:rsidRDefault="008F0FA6" w:rsidP="00967FDC">
      <w:r>
        <w:separator/>
      </w:r>
    </w:p>
  </w:footnote>
  <w:footnote w:type="continuationSeparator" w:id="0">
    <w:p w:rsidR="008F0FA6" w:rsidRDefault="008F0FA6" w:rsidP="0096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02B4"/>
    <w:multiLevelType w:val="hybridMultilevel"/>
    <w:tmpl w:val="171010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B05C8"/>
    <w:multiLevelType w:val="hybridMultilevel"/>
    <w:tmpl w:val="5BDA0F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43653"/>
    <w:multiLevelType w:val="hybridMultilevel"/>
    <w:tmpl w:val="9FEE0C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2A"/>
    <w:rsid w:val="000000FE"/>
    <w:rsid w:val="00003BF6"/>
    <w:rsid w:val="00024650"/>
    <w:rsid w:val="000428F7"/>
    <w:rsid w:val="00044F60"/>
    <w:rsid w:val="00057B5F"/>
    <w:rsid w:val="0006270F"/>
    <w:rsid w:val="00076918"/>
    <w:rsid w:val="000C3116"/>
    <w:rsid w:val="0010409B"/>
    <w:rsid w:val="0011045F"/>
    <w:rsid w:val="001127FE"/>
    <w:rsid w:val="001153AB"/>
    <w:rsid w:val="00124DFE"/>
    <w:rsid w:val="00125648"/>
    <w:rsid w:val="001409FC"/>
    <w:rsid w:val="001455EB"/>
    <w:rsid w:val="0015026E"/>
    <w:rsid w:val="0017421B"/>
    <w:rsid w:val="001815DF"/>
    <w:rsid w:val="00197534"/>
    <w:rsid w:val="001E40FA"/>
    <w:rsid w:val="001F10BA"/>
    <w:rsid w:val="001F57F8"/>
    <w:rsid w:val="001F78D7"/>
    <w:rsid w:val="002020E6"/>
    <w:rsid w:val="00204576"/>
    <w:rsid w:val="002200DD"/>
    <w:rsid w:val="00224180"/>
    <w:rsid w:val="00227C80"/>
    <w:rsid w:val="00252BD0"/>
    <w:rsid w:val="00256D43"/>
    <w:rsid w:val="002740BB"/>
    <w:rsid w:val="00280D3B"/>
    <w:rsid w:val="002810E0"/>
    <w:rsid w:val="002901E2"/>
    <w:rsid w:val="00297AA5"/>
    <w:rsid w:val="002A4616"/>
    <w:rsid w:val="002D0D97"/>
    <w:rsid w:val="002D55BC"/>
    <w:rsid w:val="002D5A58"/>
    <w:rsid w:val="002E0C67"/>
    <w:rsid w:val="002F3557"/>
    <w:rsid w:val="00306DFF"/>
    <w:rsid w:val="00320B8A"/>
    <w:rsid w:val="00346151"/>
    <w:rsid w:val="00351BE5"/>
    <w:rsid w:val="003601A7"/>
    <w:rsid w:val="00376C0E"/>
    <w:rsid w:val="00386C60"/>
    <w:rsid w:val="00391EE8"/>
    <w:rsid w:val="00395D88"/>
    <w:rsid w:val="003B1BDF"/>
    <w:rsid w:val="003B5E61"/>
    <w:rsid w:val="003C22E8"/>
    <w:rsid w:val="003C7F6A"/>
    <w:rsid w:val="003D167E"/>
    <w:rsid w:val="003D6D87"/>
    <w:rsid w:val="003E60CD"/>
    <w:rsid w:val="0040335C"/>
    <w:rsid w:val="00420C09"/>
    <w:rsid w:val="0042413E"/>
    <w:rsid w:val="00433F40"/>
    <w:rsid w:val="00442833"/>
    <w:rsid w:val="00452F97"/>
    <w:rsid w:val="004778DD"/>
    <w:rsid w:val="00486100"/>
    <w:rsid w:val="004B0057"/>
    <w:rsid w:val="004C75D6"/>
    <w:rsid w:val="004D11A6"/>
    <w:rsid w:val="004D5F6A"/>
    <w:rsid w:val="004F7859"/>
    <w:rsid w:val="005121B9"/>
    <w:rsid w:val="00524F3B"/>
    <w:rsid w:val="0054490A"/>
    <w:rsid w:val="00544F4B"/>
    <w:rsid w:val="00553BD9"/>
    <w:rsid w:val="005573CD"/>
    <w:rsid w:val="005646A8"/>
    <w:rsid w:val="00583E59"/>
    <w:rsid w:val="0059645F"/>
    <w:rsid w:val="005A4935"/>
    <w:rsid w:val="005B298A"/>
    <w:rsid w:val="005C0AD3"/>
    <w:rsid w:val="005F6FEA"/>
    <w:rsid w:val="00626FB9"/>
    <w:rsid w:val="00641B83"/>
    <w:rsid w:val="00651ED8"/>
    <w:rsid w:val="00667ACF"/>
    <w:rsid w:val="006742C8"/>
    <w:rsid w:val="00693430"/>
    <w:rsid w:val="006A19D8"/>
    <w:rsid w:val="006B0535"/>
    <w:rsid w:val="006B294F"/>
    <w:rsid w:val="006B6631"/>
    <w:rsid w:val="006C11F5"/>
    <w:rsid w:val="006E3281"/>
    <w:rsid w:val="006F48DD"/>
    <w:rsid w:val="00702BAC"/>
    <w:rsid w:val="007168DD"/>
    <w:rsid w:val="007240D7"/>
    <w:rsid w:val="00734BA7"/>
    <w:rsid w:val="007413DC"/>
    <w:rsid w:val="007517AB"/>
    <w:rsid w:val="00764B1F"/>
    <w:rsid w:val="007660BF"/>
    <w:rsid w:val="00794691"/>
    <w:rsid w:val="007A2017"/>
    <w:rsid w:val="007A309C"/>
    <w:rsid w:val="007A4586"/>
    <w:rsid w:val="007A72ED"/>
    <w:rsid w:val="007C142D"/>
    <w:rsid w:val="007F0D51"/>
    <w:rsid w:val="00820EF0"/>
    <w:rsid w:val="00822054"/>
    <w:rsid w:val="0083649D"/>
    <w:rsid w:val="00837140"/>
    <w:rsid w:val="0085737E"/>
    <w:rsid w:val="00884C86"/>
    <w:rsid w:val="008873CF"/>
    <w:rsid w:val="00891090"/>
    <w:rsid w:val="008B2EDF"/>
    <w:rsid w:val="008B3DFB"/>
    <w:rsid w:val="008E56C4"/>
    <w:rsid w:val="008F0FA6"/>
    <w:rsid w:val="009020E0"/>
    <w:rsid w:val="0090425A"/>
    <w:rsid w:val="00906553"/>
    <w:rsid w:val="00910F20"/>
    <w:rsid w:val="00915065"/>
    <w:rsid w:val="00923971"/>
    <w:rsid w:val="00962A0F"/>
    <w:rsid w:val="0096343C"/>
    <w:rsid w:val="00967FDC"/>
    <w:rsid w:val="00974113"/>
    <w:rsid w:val="00976239"/>
    <w:rsid w:val="00983B77"/>
    <w:rsid w:val="009A1CA9"/>
    <w:rsid w:val="009C0C11"/>
    <w:rsid w:val="009C6E38"/>
    <w:rsid w:val="009E3668"/>
    <w:rsid w:val="009E36C3"/>
    <w:rsid w:val="009E4FE4"/>
    <w:rsid w:val="00A14343"/>
    <w:rsid w:val="00A35DBC"/>
    <w:rsid w:val="00A46ECA"/>
    <w:rsid w:val="00A711FA"/>
    <w:rsid w:val="00A72415"/>
    <w:rsid w:val="00A92C12"/>
    <w:rsid w:val="00AB1BD2"/>
    <w:rsid w:val="00AB6268"/>
    <w:rsid w:val="00AC162B"/>
    <w:rsid w:val="00AD4773"/>
    <w:rsid w:val="00AD5967"/>
    <w:rsid w:val="00AF7AF2"/>
    <w:rsid w:val="00B1329B"/>
    <w:rsid w:val="00B25637"/>
    <w:rsid w:val="00B47602"/>
    <w:rsid w:val="00B56D63"/>
    <w:rsid w:val="00B70652"/>
    <w:rsid w:val="00B75C40"/>
    <w:rsid w:val="00B83ECE"/>
    <w:rsid w:val="00B86240"/>
    <w:rsid w:val="00B947C0"/>
    <w:rsid w:val="00B95596"/>
    <w:rsid w:val="00BC3BBA"/>
    <w:rsid w:val="00BC5E95"/>
    <w:rsid w:val="00BD7811"/>
    <w:rsid w:val="00BE71D4"/>
    <w:rsid w:val="00C03898"/>
    <w:rsid w:val="00C1155D"/>
    <w:rsid w:val="00C21B77"/>
    <w:rsid w:val="00C4701F"/>
    <w:rsid w:val="00C54957"/>
    <w:rsid w:val="00C56520"/>
    <w:rsid w:val="00C626B0"/>
    <w:rsid w:val="00C85EAA"/>
    <w:rsid w:val="00C86150"/>
    <w:rsid w:val="00CB0790"/>
    <w:rsid w:val="00CC7929"/>
    <w:rsid w:val="00CD3E7B"/>
    <w:rsid w:val="00CE3BF0"/>
    <w:rsid w:val="00CF35A1"/>
    <w:rsid w:val="00D156A6"/>
    <w:rsid w:val="00D260B8"/>
    <w:rsid w:val="00D3282A"/>
    <w:rsid w:val="00D40CBE"/>
    <w:rsid w:val="00D65326"/>
    <w:rsid w:val="00D94F95"/>
    <w:rsid w:val="00DB4DEC"/>
    <w:rsid w:val="00DC7EDC"/>
    <w:rsid w:val="00DD0AB6"/>
    <w:rsid w:val="00DE4D28"/>
    <w:rsid w:val="00DE789D"/>
    <w:rsid w:val="00DF01B0"/>
    <w:rsid w:val="00E0690A"/>
    <w:rsid w:val="00E06EC7"/>
    <w:rsid w:val="00E427E0"/>
    <w:rsid w:val="00E51ABC"/>
    <w:rsid w:val="00E51C29"/>
    <w:rsid w:val="00E62A29"/>
    <w:rsid w:val="00E80FA1"/>
    <w:rsid w:val="00E827C0"/>
    <w:rsid w:val="00E97FFB"/>
    <w:rsid w:val="00EA25E3"/>
    <w:rsid w:val="00EB652D"/>
    <w:rsid w:val="00EC317B"/>
    <w:rsid w:val="00EF09F0"/>
    <w:rsid w:val="00EF49C8"/>
    <w:rsid w:val="00F039B9"/>
    <w:rsid w:val="00F1085A"/>
    <w:rsid w:val="00F137A1"/>
    <w:rsid w:val="00F14D8F"/>
    <w:rsid w:val="00F200D6"/>
    <w:rsid w:val="00F26E05"/>
    <w:rsid w:val="00F446F8"/>
    <w:rsid w:val="00F46C1C"/>
    <w:rsid w:val="00F502DA"/>
    <w:rsid w:val="00F50F1B"/>
    <w:rsid w:val="00F55964"/>
    <w:rsid w:val="00F66ABA"/>
    <w:rsid w:val="00F916A9"/>
    <w:rsid w:val="00FB159E"/>
    <w:rsid w:val="00FC5C72"/>
    <w:rsid w:val="00FD1E44"/>
    <w:rsid w:val="00FD3C60"/>
    <w:rsid w:val="00FE1883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58AD8"/>
  <w15:chartTrackingRefBased/>
  <w15:docId w15:val="{641D4FCE-913D-C54D-AC95-345A1A35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7C0"/>
  </w:style>
  <w:style w:type="paragraph" w:styleId="Footer">
    <w:name w:val="footer"/>
    <w:basedOn w:val="Normal"/>
    <w:link w:val="FooterChar"/>
    <w:uiPriority w:val="99"/>
    <w:unhideWhenUsed/>
    <w:rsid w:val="00B94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7C0"/>
  </w:style>
  <w:style w:type="paragraph" w:styleId="NoSpacing">
    <w:name w:val="No Spacing"/>
    <w:uiPriority w:val="1"/>
    <w:qFormat/>
    <w:rsid w:val="003C22E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B3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gatewayc.org.uk/browse-free-interactive-cancer-cours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D9FE094EBD047B442390833B1D25B" ma:contentTypeVersion="13" ma:contentTypeDescription="Create a new document." ma:contentTypeScope="" ma:versionID="5339937fadbf0ba0d4e983d324435c60">
  <xsd:schema xmlns:xsd="http://www.w3.org/2001/XMLSchema" xmlns:xs="http://www.w3.org/2001/XMLSchema" xmlns:p="http://schemas.microsoft.com/office/2006/metadata/properties" xmlns:ns3="436f6454-1dbf-4242-b06d-52b7d8e61203" xmlns:ns4="83751755-d851-462a-b4bd-3e5ab81bdaa6" targetNamespace="http://schemas.microsoft.com/office/2006/metadata/properties" ma:root="true" ma:fieldsID="6e92959ca0ae9f1f39fe620dca948c6d" ns3:_="" ns4:_="">
    <xsd:import namespace="436f6454-1dbf-4242-b06d-52b7d8e61203"/>
    <xsd:import namespace="83751755-d851-462a-b4bd-3e5ab81bda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6454-1dbf-4242-b06d-52b7d8e61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51755-d851-462a-b4bd-3e5ab81bd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42326-7D92-49A0-8482-EC896789D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F5C069-253A-4A4D-9A14-57F995AB7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81127-8DF7-4318-970F-9DA90A143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f6454-1dbf-4242-b06d-52b7d8e61203"/>
    <ds:schemaRef ds:uri="83751755-d851-462a-b4bd-3e5ab81bd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Tasker</dc:creator>
  <cp:keywords/>
  <dc:description/>
  <cp:lastModifiedBy>Sarah Rendall</cp:lastModifiedBy>
  <cp:revision>1</cp:revision>
  <dcterms:created xsi:type="dcterms:W3CDTF">2020-09-23T06:25:00Z</dcterms:created>
  <dcterms:modified xsi:type="dcterms:W3CDTF">2020-09-23T06:25:00Z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0x0101003CED9FE094EBD047B442390833B1D25B</vt:lpwstr>
  </property>
</Properties>
</file>