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5F765" w14:textId="0D207CE2" w:rsidR="00B015A0" w:rsidRDefault="00B015A0" w:rsidP="00B015A0">
      <w:pPr>
        <w:pStyle w:val="Heading1"/>
        <w:jc w:val="right"/>
      </w:pPr>
      <w:r>
        <w:rPr>
          <w:noProof/>
        </w:rPr>
        <w:drawing>
          <wp:inline distT="0" distB="0" distL="0" distR="0" wp14:anchorId="3263ACCA" wp14:editId="5A880576">
            <wp:extent cx="990600" cy="7429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03" cy="74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5FBC" w14:textId="2C80DBA6" w:rsidR="00072DA7" w:rsidRDefault="396C293F" w:rsidP="00C76CCB">
      <w:pPr>
        <w:pStyle w:val="Heading1"/>
        <w:jc w:val="center"/>
      </w:pPr>
      <w:r>
        <w:t>NCA COMBINED GI REFERRAL PATHWAY</w:t>
      </w:r>
    </w:p>
    <w:p w14:paraId="23FD4A79" w14:textId="2CFE6B2E" w:rsidR="00C76CCB" w:rsidRPr="00C76CCB" w:rsidRDefault="006D2FD6" w:rsidP="00C76CCB">
      <w:pPr>
        <w:jc w:val="center"/>
      </w:pPr>
      <w:r>
        <w:t>v1</w:t>
      </w:r>
      <w:r w:rsidR="00A74AD5">
        <w:t>5</w:t>
      </w:r>
      <w:r>
        <w:t xml:space="preserve">; </w:t>
      </w:r>
      <w:r w:rsidR="00A74AD5">
        <w:t>1</w:t>
      </w:r>
      <w:r w:rsidR="00A74AD5" w:rsidRPr="00A74AD5">
        <w:rPr>
          <w:vertAlign w:val="superscript"/>
        </w:rPr>
        <w:t>st</w:t>
      </w:r>
      <w:r w:rsidR="00A74AD5">
        <w:t xml:space="preserve"> July </w:t>
      </w:r>
      <w:r w:rsidR="0042523A">
        <w:t>2021</w:t>
      </w:r>
    </w:p>
    <w:p w14:paraId="5FD10A5B" w14:textId="77777777" w:rsidR="00072DA7" w:rsidRDefault="00072DA7" w:rsidP="00072DA7"/>
    <w:p w14:paraId="5B63081F" w14:textId="77777777" w:rsidR="00693A72" w:rsidRDefault="1F875A1F" w:rsidP="00693A72">
      <w:pPr>
        <w:pStyle w:val="Heading2"/>
      </w:pPr>
      <w:r w:rsidRPr="1F875A1F">
        <w:rPr>
          <w:rFonts w:eastAsia="Times New Roman"/>
        </w:rPr>
        <w:t xml:space="preserve">Pre-referral criteria </w:t>
      </w:r>
      <w:r>
        <w:t>for primary care</w:t>
      </w:r>
    </w:p>
    <w:p w14:paraId="013B7079" w14:textId="0FFFB703" w:rsidR="00693A72" w:rsidRPr="00BA7271" w:rsidRDefault="00693A72" w:rsidP="00EB7232">
      <w:pPr>
        <w:pStyle w:val="List"/>
        <w:numPr>
          <w:ilvl w:val="0"/>
          <w:numId w:val="3"/>
        </w:numPr>
      </w:pPr>
      <w:r w:rsidRPr="6536BB5E">
        <w:rPr>
          <w:rFonts w:eastAsia="Times New Roman"/>
        </w:rPr>
        <w:t xml:space="preserve">Pre-referral criteria </w:t>
      </w:r>
      <w:r>
        <w:rPr>
          <w:rFonts w:eastAsia="Times New Roman"/>
        </w:rPr>
        <w:t xml:space="preserve">apply to this pathway. </w:t>
      </w:r>
      <w:r>
        <w:t xml:space="preserve">Failure to provide this information can lead to delay or inappropriate investigation/referral. </w:t>
      </w:r>
      <w:r w:rsidRPr="6536BB5E">
        <w:rPr>
          <w:rFonts w:eastAsia="Times New Roman"/>
        </w:rPr>
        <w:t>The referral may be returned to the GP requesting more information if these criteria are not evidenced</w:t>
      </w:r>
    </w:p>
    <w:p w14:paraId="605671F3" w14:textId="474A2C62" w:rsidR="00693A72" w:rsidRDefault="396C293F" w:rsidP="00EB7232">
      <w:pPr>
        <w:pStyle w:val="List"/>
        <w:numPr>
          <w:ilvl w:val="0"/>
          <w:numId w:val="3"/>
        </w:numPr>
      </w:pPr>
      <w:r w:rsidRPr="396C293F">
        <w:rPr>
          <w:rFonts w:eastAsia="Times New Roman"/>
        </w:rPr>
        <w:t xml:space="preserve">A </w:t>
      </w:r>
      <w:r w:rsidRPr="396C293F">
        <w:rPr>
          <w:rFonts w:eastAsia="Times New Roman"/>
          <w:b/>
          <w:bCs/>
        </w:rPr>
        <w:t xml:space="preserve">physical examination </w:t>
      </w:r>
      <w:r w:rsidRPr="396C293F">
        <w:rPr>
          <w:rFonts w:eastAsia="Times New Roman"/>
        </w:rPr>
        <w:t xml:space="preserve">is required prior to referral </w:t>
      </w:r>
    </w:p>
    <w:p w14:paraId="6F5E669F" w14:textId="7855F3D6" w:rsidR="00693A72" w:rsidRDefault="56A42859" w:rsidP="00EB7232">
      <w:pPr>
        <w:pStyle w:val="List"/>
        <w:numPr>
          <w:ilvl w:val="0"/>
          <w:numId w:val="3"/>
        </w:numPr>
        <w:rPr>
          <w:rFonts w:eastAsiaTheme="minorEastAsia"/>
        </w:rPr>
      </w:pPr>
      <w:r>
        <w:t xml:space="preserve">Baseline </w:t>
      </w:r>
      <w:r w:rsidRPr="56A42859">
        <w:rPr>
          <w:b/>
          <w:bCs/>
        </w:rPr>
        <w:t>blood tests</w:t>
      </w:r>
      <w:r>
        <w:t xml:space="preserve"> (FBC, U&amp;Es, LFTs, bone, CRP) should be requested </w:t>
      </w:r>
      <w:r w:rsidRPr="56A42859">
        <w:rPr>
          <w:u w:val="single"/>
        </w:rPr>
        <w:t>and the results awaited and documented</w:t>
      </w:r>
      <w:r>
        <w:t xml:space="preserve"> prior to referral. Additional symptom-specific blood tests are detailed in the pathway below</w:t>
      </w:r>
    </w:p>
    <w:p w14:paraId="220CAD5A" w14:textId="66AB436C" w:rsidR="00693A72" w:rsidRDefault="396C293F" w:rsidP="00EB7232">
      <w:pPr>
        <w:pStyle w:val="List"/>
        <w:numPr>
          <w:ilvl w:val="0"/>
          <w:numId w:val="3"/>
        </w:numPr>
      </w:pPr>
      <w:r>
        <w:t xml:space="preserve">For lower GI referrals, </w:t>
      </w:r>
      <w:r w:rsidRPr="396C293F">
        <w:rPr>
          <w:b/>
          <w:bCs/>
        </w:rPr>
        <w:t>FIT test</w:t>
      </w:r>
      <w:r>
        <w:t xml:space="preserve"> should be requested </w:t>
      </w:r>
      <w:r w:rsidRPr="396C293F">
        <w:rPr>
          <w:u w:val="single"/>
        </w:rPr>
        <w:t>and the results awaited and documented</w:t>
      </w:r>
      <w:r>
        <w:t xml:space="preserve"> prior to referral, unless otherwise specified in the pathway</w:t>
      </w:r>
    </w:p>
    <w:p w14:paraId="7CAE0AF8" w14:textId="3BE7C793" w:rsidR="00D62AD0" w:rsidRDefault="00D62AD0" w:rsidP="00D62AD0">
      <w:pPr>
        <w:pStyle w:val="List"/>
      </w:pPr>
    </w:p>
    <w:p w14:paraId="4608016F" w14:textId="77777777" w:rsidR="00D62AD0" w:rsidRDefault="00D62AD0" w:rsidP="00D62AD0">
      <w:pPr>
        <w:pStyle w:val="Heading2"/>
      </w:pPr>
      <w:r>
        <w:t>Modifiers</w:t>
      </w:r>
    </w:p>
    <w:p w14:paraId="3C2BDC50" w14:textId="1AE5B680" w:rsidR="00D62AD0" w:rsidRDefault="396C293F" w:rsidP="396C293F">
      <w:pPr>
        <w:pStyle w:val="List"/>
        <w:numPr>
          <w:ilvl w:val="0"/>
          <w:numId w:val="3"/>
        </w:numPr>
        <w:rPr>
          <w:rFonts w:eastAsiaTheme="minorEastAsia"/>
        </w:rPr>
      </w:pPr>
      <w:r>
        <w:t>*</w:t>
      </w:r>
      <w:r w:rsidRPr="396C293F">
        <w:rPr>
          <w:b/>
          <w:bCs/>
        </w:rPr>
        <w:t>Previously investigated patients</w:t>
      </w:r>
      <w:r>
        <w:t>: Please avoid referring previously investigated patients “straight to test” unless there is a clear change in symptoms or worrying new symptoms. If the patient has had previous investigation for the same indication (or same investigation for another indication) within the past 5 years, consider whether re-referral is appropriate; if any concern, please discuss with secondary care using A</w:t>
      </w:r>
      <w:r w:rsidR="00D2788A">
        <w:t xml:space="preserve">dvice </w:t>
      </w:r>
      <w:r>
        <w:t>&amp;</w:t>
      </w:r>
      <w:r w:rsidR="00D2788A">
        <w:t xml:space="preserve"> </w:t>
      </w:r>
      <w:r>
        <w:t>G</w:t>
      </w:r>
      <w:r w:rsidR="00F17C02">
        <w:t>uidance</w:t>
      </w:r>
      <w:r>
        <w:t>, or refer for a clinic consultation</w:t>
      </w:r>
    </w:p>
    <w:p w14:paraId="79AFAC7F" w14:textId="68D7630A" w:rsidR="00D62AD0" w:rsidRDefault="00D62AD0" w:rsidP="00EB7232">
      <w:pPr>
        <w:pStyle w:val="List"/>
        <w:numPr>
          <w:ilvl w:val="0"/>
          <w:numId w:val="3"/>
        </w:numPr>
      </w:pPr>
      <w:r w:rsidRPr="6536BB5E">
        <w:rPr>
          <w:b/>
          <w:bCs/>
        </w:rPr>
        <w:t xml:space="preserve">Patient preference </w:t>
      </w:r>
      <w:r>
        <w:t xml:space="preserve">– if the patient does not wish to go “straight to test”, please indicate this clearly on </w:t>
      </w:r>
      <w:r w:rsidR="00F17C02">
        <w:t xml:space="preserve">the </w:t>
      </w:r>
      <w:r>
        <w:t xml:space="preserve">referral </w:t>
      </w:r>
    </w:p>
    <w:p w14:paraId="63797042" w14:textId="0CF102EE" w:rsidR="00D62AD0" w:rsidRPr="004E6BCB" w:rsidRDefault="396C293F" w:rsidP="00EB7232">
      <w:pPr>
        <w:pStyle w:val="List"/>
        <w:numPr>
          <w:ilvl w:val="0"/>
          <w:numId w:val="3"/>
        </w:numPr>
      </w:pPr>
      <w:r w:rsidRPr="396C293F">
        <w:rPr>
          <w:b/>
          <w:bCs/>
        </w:rPr>
        <w:t>Elderly/comorbidity</w:t>
      </w:r>
      <w:r>
        <w:t xml:space="preserve"> (use performance status or Rockwood clinical frailty scale) - </w:t>
      </w:r>
      <w:r w:rsidRPr="396C293F">
        <w:rPr>
          <w:rFonts w:eastAsia="Times New Roman"/>
        </w:rPr>
        <w:t xml:space="preserve">If a patient has moderate or severe frailty, consider if it is appropriate to investigate. This may include dementia. If there is any doubt about appropriateness of investigations, </w:t>
      </w:r>
      <w:r w:rsidR="00A44A17">
        <w:rPr>
          <w:rFonts w:eastAsia="Times New Roman"/>
        </w:rPr>
        <w:t>please</w:t>
      </w:r>
      <w:r w:rsidRPr="396C293F">
        <w:rPr>
          <w:rFonts w:eastAsia="Times New Roman"/>
        </w:rPr>
        <w:t xml:space="preserve"> contact secondary care clinical team using </w:t>
      </w:r>
      <w:r w:rsidR="00A44A17">
        <w:t>Advice &amp; Guidance</w:t>
      </w:r>
      <w:r w:rsidR="00A44A17" w:rsidRPr="396C293F">
        <w:rPr>
          <w:rFonts w:eastAsia="Times New Roman"/>
        </w:rPr>
        <w:t xml:space="preserve"> </w:t>
      </w:r>
      <w:r w:rsidRPr="396C293F">
        <w:rPr>
          <w:rFonts w:eastAsia="Times New Roman"/>
        </w:rPr>
        <w:t xml:space="preserve">to agree best approach. It may be reasonable to complete history, examination and to arrange bloods, FIT and imaging (as per pathway) before requesting </w:t>
      </w:r>
      <w:r w:rsidR="00E011EF">
        <w:t>Advice &amp; Guidance</w:t>
      </w:r>
    </w:p>
    <w:p w14:paraId="44D47203" w14:textId="08BDA76D" w:rsidR="001703EA" w:rsidRDefault="00D62AD0" w:rsidP="00EB7232">
      <w:pPr>
        <w:pStyle w:val="List"/>
        <w:numPr>
          <w:ilvl w:val="0"/>
          <w:numId w:val="3"/>
        </w:numPr>
      </w:pPr>
      <w:r>
        <w:rPr>
          <w:b/>
          <w:bCs/>
        </w:rPr>
        <w:t>Young patients</w:t>
      </w:r>
      <w:r>
        <w:t xml:space="preserve"> – age is the biggest risk factor for cancer. </w:t>
      </w:r>
      <w:r w:rsidR="009B4682">
        <w:t>Whilst</w:t>
      </w:r>
      <w:r>
        <w:t xml:space="preserve"> cancers can occur in young people, the risk of cancer in those &lt;50 is very low, and even lower </w:t>
      </w:r>
      <w:r w:rsidR="00BC0D1C">
        <w:t>if</w:t>
      </w:r>
      <w:r>
        <w:t xml:space="preserve"> &lt;40</w:t>
      </w:r>
    </w:p>
    <w:p w14:paraId="014023BB" w14:textId="37D7D4E0" w:rsidR="00480108" w:rsidRDefault="001703E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867"/>
        <w:gridCol w:w="7102"/>
        <w:gridCol w:w="6746"/>
      </w:tblGrid>
      <w:tr w:rsidR="00DC6897" w:rsidRPr="00FB4A23" w14:paraId="4E1CD94A" w14:textId="77777777" w:rsidTr="00A74AD5">
        <w:tc>
          <w:tcPr>
            <w:tcW w:w="0" w:type="auto"/>
            <w:vMerge w:val="restart"/>
            <w:shd w:val="clear" w:color="auto" w:fill="5B9BD5" w:themeFill="accent1"/>
            <w:textDirection w:val="btLr"/>
          </w:tcPr>
          <w:p w14:paraId="69BF1EE9" w14:textId="1C019CA5" w:rsidR="00E142F5" w:rsidRPr="00FB4A23" w:rsidRDefault="00375B8F" w:rsidP="00375B8F">
            <w:pPr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F168CC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lastRenderedPageBreak/>
              <w:t>NORTHERN CAN</w:t>
            </w:r>
            <w:r w:rsidR="0083235E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C</w:t>
            </w:r>
            <w:r w:rsidRPr="00F168CC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ER ALLIANCE COMBINED GI PATHWAY</w:t>
            </w:r>
          </w:p>
        </w:tc>
        <w:tc>
          <w:tcPr>
            <w:tcW w:w="867" w:type="dxa"/>
            <w:shd w:val="clear" w:color="auto" w:fill="5B9BD5" w:themeFill="accent1"/>
          </w:tcPr>
          <w:p w14:paraId="158D3C0D" w14:textId="1D6FEC0B" w:rsidR="00E142F5" w:rsidRPr="00F168CC" w:rsidRDefault="00E142F5" w:rsidP="00C77AC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168CC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Minimum age</w:t>
            </w:r>
          </w:p>
        </w:tc>
        <w:tc>
          <w:tcPr>
            <w:tcW w:w="7102" w:type="dxa"/>
            <w:shd w:val="clear" w:color="auto" w:fill="5B9BD5" w:themeFill="accent1"/>
          </w:tcPr>
          <w:p w14:paraId="66456A67" w14:textId="77777777" w:rsidR="00E142F5" w:rsidRPr="00F168CC" w:rsidRDefault="00E142F5" w:rsidP="00C77AC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F168CC"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  <w:t>Symptom</w:t>
            </w:r>
          </w:p>
        </w:tc>
        <w:tc>
          <w:tcPr>
            <w:tcW w:w="6746" w:type="dxa"/>
            <w:shd w:val="clear" w:color="auto" w:fill="5B9BD5" w:themeFill="accent1"/>
          </w:tcPr>
          <w:p w14:paraId="542F2C4D" w14:textId="04E32BC7" w:rsidR="0083235E" w:rsidRDefault="00E142F5" w:rsidP="00C77AC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F168CC">
              <w:rPr>
                <w:b/>
                <w:bCs/>
                <w:color w:val="FFFFFF" w:themeColor="background1"/>
                <w:sz w:val="16"/>
                <w:szCs w:val="16"/>
              </w:rPr>
              <w:t>Primary care action</w:t>
            </w:r>
          </w:p>
          <w:p w14:paraId="32BD618C" w14:textId="1A132FDC" w:rsidR="00E142F5" w:rsidRPr="00F168CC" w:rsidRDefault="00E142F5" w:rsidP="00C77AC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3235E">
              <w:rPr>
                <w:color w:val="FFFFFF" w:themeColor="background1"/>
                <w:sz w:val="14"/>
                <w:szCs w:val="14"/>
              </w:rPr>
              <w:t>[usual secondary care test is given in brackets, although this will be at discretion of the secondary care tea</w:t>
            </w:r>
            <w:r w:rsidR="00C4766D">
              <w:rPr>
                <w:color w:val="FFFFFF" w:themeColor="background1"/>
                <w:sz w:val="14"/>
                <w:szCs w:val="14"/>
              </w:rPr>
              <w:t>m</w:t>
            </w:r>
            <w:r w:rsidRPr="0083235E">
              <w:rPr>
                <w:color w:val="FFFFFF" w:themeColor="background1"/>
                <w:sz w:val="14"/>
                <w:szCs w:val="14"/>
              </w:rPr>
              <w:t>]</w:t>
            </w:r>
          </w:p>
        </w:tc>
      </w:tr>
      <w:tr w:rsidR="00817759" w:rsidRPr="00FB4A23" w14:paraId="38560F6E" w14:textId="77777777" w:rsidTr="00A74AD5">
        <w:tc>
          <w:tcPr>
            <w:tcW w:w="0" w:type="auto"/>
            <w:vMerge/>
          </w:tcPr>
          <w:p w14:paraId="5DC285FA" w14:textId="77777777" w:rsidR="00E142F5" w:rsidRPr="00FB4A23" w:rsidRDefault="00E142F5" w:rsidP="00050DB8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6B3ABDA9" w14:textId="2DF9A883" w:rsidR="00E142F5" w:rsidRPr="00FB4A23" w:rsidRDefault="00E142F5" w:rsidP="00050DB8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63390934" w14:textId="7EB5C4B7" w:rsidR="00E142F5" w:rsidRPr="00FB4A23" w:rsidRDefault="00E142F5" w:rsidP="00050DB8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>JAUNDICE</w:t>
            </w:r>
            <w:r w:rsidRPr="00FB4A23">
              <w:rPr>
                <w:b/>
                <w:bCs/>
                <w:sz w:val="14"/>
                <w:szCs w:val="14"/>
              </w:rPr>
              <w:t xml:space="preserve"> </w:t>
            </w:r>
            <w:r w:rsidRPr="00FB4A23">
              <w:rPr>
                <w:sz w:val="14"/>
                <w:szCs w:val="14"/>
              </w:rPr>
              <w:t xml:space="preserve">(where concern about possible malignancy; must have raised bilirubin </w:t>
            </w:r>
            <w:r w:rsidR="00F343BF">
              <w:rPr>
                <w:sz w:val="14"/>
                <w:szCs w:val="14"/>
              </w:rPr>
              <w:t>and</w:t>
            </w:r>
            <w:r w:rsidRPr="00FB4A23">
              <w:rPr>
                <w:sz w:val="14"/>
                <w:szCs w:val="14"/>
              </w:rPr>
              <w:t xml:space="preserve"> either raised alkaline phosphatase or GGT)</w:t>
            </w:r>
          </w:p>
          <w:p w14:paraId="3FA9575C" w14:textId="77777777" w:rsidR="00E142F5" w:rsidRPr="00FB4A23" w:rsidRDefault="00E142F5" w:rsidP="00050DB8">
            <w:pPr>
              <w:rPr>
                <w:b/>
                <w:bCs/>
                <w:sz w:val="14"/>
                <w:szCs w:val="14"/>
              </w:rPr>
            </w:pPr>
          </w:p>
          <w:p w14:paraId="478AE020" w14:textId="3F70DC7B" w:rsidR="00E142F5" w:rsidRPr="00FB4A23" w:rsidRDefault="00E142F5" w:rsidP="00050DB8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FB4A23">
              <w:rPr>
                <w:i/>
                <w:iCs/>
                <w:sz w:val="14"/>
                <w:szCs w:val="14"/>
              </w:rPr>
              <w:t xml:space="preserve">Notes: If felt likely non-malignant, </w:t>
            </w:r>
            <w:r w:rsidR="00A508AF" w:rsidRPr="00FB4A23">
              <w:rPr>
                <w:i/>
                <w:iCs/>
                <w:sz w:val="14"/>
                <w:szCs w:val="14"/>
              </w:rPr>
              <w:t>consider US</w:t>
            </w:r>
            <w:r w:rsidR="00B36CD9">
              <w:rPr>
                <w:i/>
                <w:iCs/>
                <w:sz w:val="14"/>
                <w:szCs w:val="14"/>
              </w:rPr>
              <w:t>,</w:t>
            </w:r>
            <w:r w:rsidR="00A508AF" w:rsidRPr="00FB4A23">
              <w:rPr>
                <w:i/>
                <w:iCs/>
                <w:sz w:val="14"/>
                <w:szCs w:val="14"/>
              </w:rPr>
              <w:t xml:space="preserve"> liver serology screen </w:t>
            </w:r>
            <w:r w:rsidR="00B36CD9">
              <w:rPr>
                <w:i/>
                <w:iCs/>
                <w:sz w:val="14"/>
                <w:szCs w:val="14"/>
              </w:rPr>
              <w:t>&amp;</w:t>
            </w:r>
            <w:r w:rsidRPr="00FB4A23">
              <w:rPr>
                <w:i/>
                <w:iCs/>
                <w:sz w:val="14"/>
                <w:szCs w:val="14"/>
              </w:rPr>
              <w:t xml:space="preserve"> </w:t>
            </w:r>
            <w:r w:rsidR="00F66D4B" w:rsidRPr="00FB4A23">
              <w:rPr>
                <w:i/>
                <w:iCs/>
                <w:sz w:val="14"/>
                <w:szCs w:val="14"/>
              </w:rPr>
              <w:t xml:space="preserve">hepatology/gastroenterology </w:t>
            </w:r>
            <w:r w:rsidRPr="00FB4A23">
              <w:rPr>
                <w:i/>
                <w:iCs/>
                <w:sz w:val="14"/>
                <w:szCs w:val="14"/>
              </w:rPr>
              <w:t xml:space="preserve">A&amp;G. </w:t>
            </w:r>
          </w:p>
        </w:tc>
        <w:tc>
          <w:tcPr>
            <w:tcW w:w="6746" w:type="dxa"/>
          </w:tcPr>
          <w:p w14:paraId="35C4FC79" w14:textId="3B13805D" w:rsidR="00E142F5" w:rsidRPr="00FB4A23" w:rsidRDefault="00E142F5" w:rsidP="27278EE3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sz w:val="14"/>
                <w:szCs w:val="14"/>
              </w:rPr>
              <w:t xml:space="preserve">Refer 2ww </w:t>
            </w:r>
            <w:r w:rsidRPr="00914C91">
              <w:rPr>
                <w:color w:val="2E74B5" w:themeColor="accent1" w:themeShade="BF"/>
                <w:sz w:val="14"/>
                <w:szCs w:val="14"/>
              </w:rPr>
              <w:t>[</w:t>
            </w:r>
            <w:r w:rsidR="00D61699" w:rsidRPr="00914C91">
              <w:rPr>
                <w:color w:val="2E74B5" w:themeColor="accent1" w:themeShade="BF"/>
                <w:sz w:val="14"/>
                <w:szCs w:val="14"/>
              </w:rPr>
              <w:t>S</w:t>
            </w:r>
            <w:r w:rsidRPr="00914C91">
              <w:rPr>
                <w:color w:val="2E74B5" w:themeColor="accent1" w:themeShade="BF"/>
                <w:sz w:val="14"/>
                <w:szCs w:val="14"/>
              </w:rPr>
              <w:t xml:space="preserve">econdary care to organise 2ww triple-phase pancreatic CT + CT CAP for people with obstructive jaundice and suspected pancreatic cancer [NG85]] </w:t>
            </w:r>
          </w:p>
        </w:tc>
      </w:tr>
      <w:tr w:rsidR="00817759" w:rsidRPr="00FB4A23" w14:paraId="70A5ED8A" w14:textId="77777777" w:rsidTr="00A74AD5">
        <w:tc>
          <w:tcPr>
            <w:tcW w:w="0" w:type="auto"/>
            <w:vMerge/>
          </w:tcPr>
          <w:p w14:paraId="451F780C" w14:textId="77777777" w:rsidR="00E142F5" w:rsidRPr="00FB4A23" w:rsidRDefault="00E142F5" w:rsidP="00CD1F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43130F4F" w14:textId="0D7463A5" w:rsidR="00E142F5" w:rsidRPr="00FB4A23" w:rsidRDefault="00E142F5" w:rsidP="00CD1F1D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Any</w:t>
            </w:r>
          </w:p>
        </w:tc>
        <w:tc>
          <w:tcPr>
            <w:tcW w:w="7102" w:type="dxa"/>
            <w:shd w:val="clear" w:color="auto" w:fill="auto"/>
          </w:tcPr>
          <w:p w14:paraId="4D3F3406" w14:textId="23B7A179" w:rsidR="00E142F5" w:rsidRPr="00FB4A23" w:rsidRDefault="00E142F5" w:rsidP="00CD1F1D">
            <w:pPr>
              <w:rPr>
                <w:rFonts w:cstheme="minorHAnsi"/>
                <w:b/>
                <w:bCs/>
                <w:color w:val="0070C0"/>
                <w:sz w:val="14"/>
                <w:szCs w:val="14"/>
              </w:rPr>
            </w:pPr>
            <w:r w:rsidRPr="00FB4A23">
              <w:rPr>
                <w:rFonts w:cstheme="minorHAnsi"/>
                <w:b/>
                <w:bCs/>
                <w:color w:val="0070C0"/>
                <w:sz w:val="14"/>
                <w:szCs w:val="14"/>
              </w:rPr>
              <w:t>RECTAL MASS, ANAL MASS OR ANAL ULCERATION</w:t>
            </w:r>
          </w:p>
        </w:tc>
        <w:tc>
          <w:tcPr>
            <w:tcW w:w="6746" w:type="dxa"/>
          </w:tcPr>
          <w:p w14:paraId="141D562D" w14:textId="07F3BAD7" w:rsidR="00E142F5" w:rsidRPr="00FB4A23" w:rsidRDefault="00E142F5" w:rsidP="00B50AC3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b/>
                <w:bCs/>
                <w:sz w:val="14"/>
                <w:szCs w:val="14"/>
              </w:rPr>
              <w:t>Refer 2ww</w:t>
            </w:r>
            <w:r w:rsidRPr="00FB4A23">
              <w:rPr>
                <w:rFonts w:cstheme="minorHAnsi"/>
                <w:sz w:val="14"/>
                <w:szCs w:val="14"/>
              </w:rPr>
              <w:t xml:space="preserve"> </w:t>
            </w:r>
            <w:r w:rsidRPr="00914C91">
              <w:rPr>
                <w:rFonts w:cstheme="minorHAnsi"/>
                <w:color w:val="2E74B5" w:themeColor="accent1" w:themeShade="BF"/>
                <w:sz w:val="14"/>
                <w:szCs w:val="14"/>
              </w:rPr>
              <w:t>[</w:t>
            </w:r>
            <w:r w:rsidR="006B384C" w:rsidRPr="00914C91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914C91">
              <w:rPr>
                <w:rFonts w:cstheme="minorHAnsi"/>
                <w:color w:val="2E74B5" w:themeColor="accent1" w:themeShade="BF"/>
                <w:sz w:val="14"/>
                <w:szCs w:val="14"/>
              </w:rPr>
              <w:t>colorectal OPA]</w:t>
            </w:r>
            <w:r w:rsidRPr="00FB4A23">
              <w:rPr>
                <w:rFonts w:cstheme="minorHAnsi"/>
                <w:sz w:val="14"/>
                <w:szCs w:val="14"/>
              </w:rPr>
              <w:t>; No FIT required</w:t>
            </w:r>
          </w:p>
        </w:tc>
      </w:tr>
      <w:tr w:rsidR="00817759" w:rsidRPr="00FB4A23" w14:paraId="77970886" w14:textId="77777777" w:rsidTr="00A74AD5">
        <w:tc>
          <w:tcPr>
            <w:tcW w:w="0" w:type="auto"/>
            <w:vMerge/>
          </w:tcPr>
          <w:p w14:paraId="43D8C1BB" w14:textId="77777777" w:rsidR="00E142F5" w:rsidRPr="00FB4A23" w:rsidRDefault="00E142F5" w:rsidP="00CD1F1D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2896B32E" w14:textId="5E88DED0" w:rsidR="00E142F5" w:rsidRPr="00FB4A23" w:rsidRDefault="00E142F5" w:rsidP="00CD1F1D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Any</w:t>
            </w:r>
          </w:p>
        </w:tc>
        <w:tc>
          <w:tcPr>
            <w:tcW w:w="7102" w:type="dxa"/>
            <w:shd w:val="clear" w:color="auto" w:fill="auto"/>
          </w:tcPr>
          <w:p w14:paraId="3864C2DA" w14:textId="471E454B" w:rsidR="00E142F5" w:rsidRPr="00FB4A23" w:rsidRDefault="00E142F5" w:rsidP="00CD1F1D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FB4A23">
              <w:rPr>
                <w:rFonts w:cstheme="minorHAnsi"/>
                <w:b/>
                <w:bCs/>
                <w:color w:val="0070C0"/>
                <w:sz w:val="14"/>
                <w:szCs w:val="14"/>
              </w:rPr>
              <w:t>ABDOMINAL MASS</w:t>
            </w:r>
          </w:p>
        </w:tc>
        <w:tc>
          <w:tcPr>
            <w:tcW w:w="6746" w:type="dxa"/>
          </w:tcPr>
          <w:p w14:paraId="2618DD85" w14:textId="24635526" w:rsidR="00E31B96" w:rsidRPr="0091541C" w:rsidRDefault="004A2911" w:rsidP="003F2F0D">
            <w:pPr>
              <w:rPr>
                <w:sz w:val="14"/>
                <w:szCs w:val="14"/>
              </w:rPr>
            </w:pPr>
            <w:r w:rsidRPr="00FD0090">
              <w:rPr>
                <w:sz w:val="14"/>
                <w:szCs w:val="14"/>
              </w:rPr>
              <w:t xml:space="preserve">Request </w:t>
            </w:r>
            <w:r w:rsidRPr="00F749FC">
              <w:rPr>
                <w:sz w:val="14"/>
                <w:szCs w:val="14"/>
              </w:rPr>
              <w:t>Ca-125</w:t>
            </w:r>
            <w:r w:rsidRPr="0091541C">
              <w:rPr>
                <w:sz w:val="14"/>
                <w:szCs w:val="14"/>
              </w:rPr>
              <w:t xml:space="preserve"> if female</w:t>
            </w:r>
            <w:r>
              <w:rPr>
                <w:sz w:val="14"/>
                <w:szCs w:val="14"/>
              </w:rPr>
              <w:t xml:space="preserve">. </w:t>
            </w:r>
            <w:r w:rsidR="008164A6" w:rsidRPr="0091541C">
              <w:rPr>
                <w:b/>
                <w:bCs/>
                <w:sz w:val="14"/>
                <w:szCs w:val="14"/>
              </w:rPr>
              <w:t>Re</w:t>
            </w:r>
            <w:r w:rsidR="008164A6">
              <w:rPr>
                <w:b/>
                <w:bCs/>
                <w:sz w:val="14"/>
                <w:szCs w:val="14"/>
              </w:rPr>
              <w:t>fer</w:t>
            </w:r>
            <w:r w:rsidR="008164A6" w:rsidRPr="0091541C">
              <w:rPr>
                <w:b/>
                <w:bCs/>
                <w:sz w:val="14"/>
                <w:szCs w:val="14"/>
              </w:rPr>
              <w:t xml:space="preserve"> </w:t>
            </w:r>
            <w:r w:rsidR="00E31B96" w:rsidRPr="0091541C">
              <w:rPr>
                <w:b/>
                <w:bCs/>
                <w:sz w:val="14"/>
                <w:szCs w:val="14"/>
              </w:rPr>
              <w:t>2ww</w:t>
            </w:r>
            <w:r w:rsidR="00904F94">
              <w:rPr>
                <w:b/>
                <w:bCs/>
                <w:sz w:val="14"/>
                <w:szCs w:val="14"/>
              </w:rPr>
              <w:t xml:space="preserve"> </w:t>
            </w:r>
            <w:r w:rsidR="00904F94" w:rsidRPr="00105C4E">
              <w:rPr>
                <w:color w:val="2E74B5" w:themeColor="accent1" w:themeShade="BF"/>
                <w:sz w:val="14"/>
                <w:szCs w:val="14"/>
              </w:rPr>
              <w:t>[</w:t>
            </w:r>
            <w:r w:rsidR="00D61699" w:rsidRPr="00105C4E">
              <w:rPr>
                <w:color w:val="2E74B5" w:themeColor="accent1" w:themeShade="BF"/>
                <w:sz w:val="14"/>
                <w:szCs w:val="14"/>
              </w:rPr>
              <w:t>S</w:t>
            </w:r>
            <w:r w:rsidR="00904F94" w:rsidRPr="00105C4E">
              <w:rPr>
                <w:color w:val="2E74B5" w:themeColor="accent1" w:themeShade="BF"/>
                <w:sz w:val="14"/>
                <w:szCs w:val="14"/>
              </w:rPr>
              <w:t xml:space="preserve">econdary care to organise </w:t>
            </w:r>
            <w:r w:rsidR="00E31B96" w:rsidRPr="00105C4E">
              <w:rPr>
                <w:color w:val="2E74B5" w:themeColor="accent1" w:themeShade="BF"/>
                <w:sz w:val="14"/>
                <w:szCs w:val="14"/>
              </w:rPr>
              <w:t>CT CAP (US AP for &lt;40yo)</w:t>
            </w:r>
            <w:r w:rsidRPr="00105C4E">
              <w:rPr>
                <w:color w:val="2E74B5" w:themeColor="accent1" w:themeShade="BF"/>
                <w:sz w:val="14"/>
                <w:szCs w:val="14"/>
              </w:rPr>
              <w:t>]</w:t>
            </w:r>
            <w:r w:rsidR="00E31B96" w:rsidRPr="0091541C">
              <w:rPr>
                <w:sz w:val="14"/>
                <w:szCs w:val="14"/>
              </w:rPr>
              <w:t xml:space="preserve">; no FIT required; </w:t>
            </w:r>
          </w:p>
        </w:tc>
      </w:tr>
      <w:tr w:rsidR="00817759" w:rsidRPr="00FB4A23" w14:paraId="6BFD3706" w14:textId="77777777" w:rsidTr="00A74AD5">
        <w:tc>
          <w:tcPr>
            <w:tcW w:w="0" w:type="auto"/>
            <w:vMerge/>
          </w:tcPr>
          <w:p w14:paraId="13CA11D9" w14:textId="77777777" w:rsidR="00ED7C75" w:rsidRPr="00FB4A23" w:rsidRDefault="00ED7C75" w:rsidP="00ED7C75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4A1B5CC4" w14:textId="258C4ADA" w:rsidR="00ED7C75" w:rsidRPr="00FB4A23" w:rsidRDefault="00ED7C75" w:rsidP="00ED7C75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0D6E86B3" w14:textId="77777777" w:rsidR="00ED7C75" w:rsidRDefault="00ED7C75" w:rsidP="00887A79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>SIGNIFICANT UNEXPLAINED WEIGHT LOSS</w:t>
            </w:r>
            <w:r w:rsidRPr="00FB4A23">
              <w:rPr>
                <w:color w:val="0070C0"/>
                <w:sz w:val="14"/>
                <w:szCs w:val="14"/>
              </w:rPr>
              <w:t> </w:t>
            </w:r>
            <w:r w:rsidRPr="00FB4A23">
              <w:rPr>
                <w:sz w:val="14"/>
                <w:szCs w:val="14"/>
              </w:rPr>
              <w:t>(documented &gt;5% or where strong clinical suspicion)</w:t>
            </w:r>
          </w:p>
          <w:p w14:paraId="73D8D8C2" w14:textId="77777777" w:rsidR="00F56B8A" w:rsidRDefault="00F56B8A" w:rsidP="00887A79">
            <w:pPr>
              <w:rPr>
                <w:b/>
                <w:bCs/>
                <w:color w:val="0070C0"/>
                <w:sz w:val="14"/>
                <w:szCs w:val="14"/>
              </w:rPr>
            </w:pPr>
          </w:p>
          <w:p w14:paraId="16C2A81E" w14:textId="47FAFF17" w:rsidR="00F56B8A" w:rsidRPr="00FB4A23" w:rsidRDefault="00F56B8A" w:rsidP="00887A79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46368A">
              <w:rPr>
                <w:i/>
                <w:iCs/>
                <w:sz w:val="14"/>
                <w:szCs w:val="14"/>
              </w:rPr>
              <w:t>Notes: please use A&amp;G if &lt;40yo</w:t>
            </w:r>
          </w:p>
        </w:tc>
        <w:tc>
          <w:tcPr>
            <w:tcW w:w="6746" w:type="dxa"/>
          </w:tcPr>
          <w:p w14:paraId="26E63A80" w14:textId="7292A9DC" w:rsidR="00ED7C75" w:rsidRPr="00FD0090" w:rsidRDefault="00BE1E60" w:rsidP="00ED7C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Full</w:t>
            </w:r>
            <w:r w:rsidR="0000196A">
              <w:rPr>
                <w:sz w:val="14"/>
                <w:szCs w:val="14"/>
              </w:rPr>
              <w:t xml:space="preserve"> </w:t>
            </w:r>
            <w:r w:rsidR="00ED7C75" w:rsidRPr="006E1048">
              <w:rPr>
                <w:sz w:val="14"/>
                <w:szCs w:val="14"/>
              </w:rPr>
              <w:t xml:space="preserve">history </w:t>
            </w:r>
            <w:r w:rsidR="00672201">
              <w:rPr>
                <w:sz w:val="14"/>
                <w:szCs w:val="14"/>
              </w:rPr>
              <w:t>&amp;</w:t>
            </w:r>
            <w:r w:rsidR="00ED7C75" w:rsidRPr="006E1048">
              <w:rPr>
                <w:sz w:val="14"/>
                <w:szCs w:val="14"/>
              </w:rPr>
              <w:t xml:space="preserve"> exam (inc weight, breast </w:t>
            </w:r>
            <w:r w:rsidR="00672201">
              <w:rPr>
                <w:sz w:val="14"/>
                <w:szCs w:val="14"/>
              </w:rPr>
              <w:t>&amp;</w:t>
            </w:r>
            <w:r w:rsidR="00ED7C75" w:rsidRPr="006E1048">
              <w:rPr>
                <w:sz w:val="14"/>
                <w:szCs w:val="14"/>
              </w:rPr>
              <w:t xml:space="preserve"> </w:t>
            </w:r>
            <w:r w:rsidR="00B27093">
              <w:rPr>
                <w:sz w:val="14"/>
                <w:szCs w:val="14"/>
              </w:rPr>
              <w:t>PR</w:t>
            </w:r>
            <w:r w:rsidR="00ED7C75" w:rsidRPr="006E1048">
              <w:rPr>
                <w:sz w:val="14"/>
                <w:szCs w:val="14"/>
              </w:rPr>
              <w:t xml:space="preserve">), </w:t>
            </w:r>
            <w:r w:rsidR="00AC1EB3">
              <w:rPr>
                <w:sz w:val="14"/>
                <w:szCs w:val="14"/>
              </w:rPr>
              <w:t>add</w:t>
            </w:r>
            <w:r w:rsidR="00B13D3F">
              <w:rPr>
                <w:sz w:val="14"/>
                <w:szCs w:val="14"/>
              </w:rPr>
              <w:t xml:space="preserve"> in</w:t>
            </w:r>
            <w:r w:rsidR="00ED7C75" w:rsidRPr="006E1048">
              <w:rPr>
                <w:sz w:val="14"/>
                <w:szCs w:val="14"/>
              </w:rPr>
              <w:t xml:space="preserve"> </w:t>
            </w:r>
            <w:r w:rsidR="00B13D3F" w:rsidRPr="006E1048">
              <w:rPr>
                <w:sz w:val="14"/>
                <w:szCs w:val="14"/>
              </w:rPr>
              <w:t xml:space="preserve">ESR, </w:t>
            </w:r>
            <w:r w:rsidR="00ED7C75" w:rsidRPr="006E1048">
              <w:rPr>
                <w:sz w:val="14"/>
                <w:szCs w:val="14"/>
              </w:rPr>
              <w:t xml:space="preserve">thyroid, HbA1c, </w:t>
            </w:r>
            <w:r w:rsidR="00FC55F6">
              <w:rPr>
                <w:sz w:val="14"/>
                <w:szCs w:val="14"/>
              </w:rPr>
              <w:t>coeliac</w:t>
            </w:r>
            <w:r w:rsidR="00BD1AE1">
              <w:rPr>
                <w:sz w:val="14"/>
                <w:szCs w:val="14"/>
              </w:rPr>
              <w:t xml:space="preserve">, </w:t>
            </w:r>
            <w:r w:rsidR="00FC55F6" w:rsidRPr="006E1048">
              <w:rPr>
                <w:sz w:val="14"/>
                <w:szCs w:val="14"/>
              </w:rPr>
              <w:t>PSA (men)</w:t>
            </w:r>
            <w:r w:rsidR="00FC55F6">
              <w:rPr>
                <w:sz w:val="14"/>
                <w:szCs w:val="14"/>
              </w:rPr>
              <w:t xml:space="preserve">, </w:t>
            </w:r>
            <w:r w:rsidR="00ED7C75" w:rsidRPr="006E1048">
              <w:rPr>
                <w:sz w:val="14"/>
                <w:szCs w:val="14"/>
              </w:rPr>
              <w:t>Ca125 (women), myeloma s</w:t>
            </w:r>
            <w:r w:rsidR="003A038E">
              <w:rPr>
                <w:sz w:val="14"/>
                <w:szCs w:val="14"/>
              </w:rPr>
              <w:t>creen</w:t>
            </w:r>
            <w:r w:rsidR="00ED7C75" w:rsidRPr="006E1048">
              <w:rPr>
                <w:sz w:val="14"/>
                <w:szCs w:val="14"/>
              </w:rPr>
              <w:t xml:space="preserve">, immunoglobulins, urinalysis </w:t>
            </w:r>
            <w:r w:rsidR="006B7A7F">
              <w:rPr>
                <w:sz w:val="14"/>
                <w:szCs w:val="14"/>
              </w:rPr>
              <w:t>&amp;</w:t>
            </w:r>
            <w:r w:rsidR="00ED7C75" w:rsidRPr="006E1048">
              <w:rPr>
                <w:sz w:val="14"/>
                <w:szCs w:val="14"/>
              </w:rPr>
              <w:t xml:space="preserve"> FIT; consider HIV test.</w:t>
            </w:r>
            <w:r w:rsidR="0092277D">
              <w:rPr>
                <w:sz w:val="14"/>
                <w:szCs w:val="14"/>
              </w:rPr>
              <w:t xml:space="preserve"> </w:t>
            </w:r>
            <w:r w:rsidR="00ED7C75" w:rsidRPr="006E1048">
              <w:rPr>
                <w:sz w:val="14"/>
                <w:szCs w:val="14"/>
              </w:rPr>
              <w:t xml:space="preserve">Review in 1-2 weeks (don’t delay if high </w:t>
            </w:r>
            <w:r w:rsidR="008D1003">
              <w:rPr>
                <w:sz w:val="14"/>
                <w:szCs w:val="14"/>
              </w:rPr>
              <w:t>concern</w:t>
            </w:r>
            <w:r w:rsidR="00ED7C75" w:rsidRPr="006E1048">
              <w:rPr>
                <w:sz w:val="14"/>
                <w:szCs w:val="14"/>
              </w:rPr>
              <w:t>)</w:t>
            </w:r>
            <w:r w:rsidR="00A33AF1">
              <w:rPr>
                <w:sz w:val="14"/>
                <w:szCs w:val="14"/>
              </w:rPr>
              <w:t>;</w:t>
            </w:r>
            <w:r w:rsidR="00ED7C75" w:rsidRPr="006E1048">
              <w:rPr>
                <w:sz w:val="14"/>
                <w:szCs w:val="14"/>
              </w:rPr>
              <w:t xml:space="preserve"> if tests </w:t>
            </w:r>
            <w:r w:rsidR="00F45C7E">
              <w:rPr>
                <w:sz w:val="14"/>
                <w:szCs w:val="14"/>
              </w:rPr>
              <w:t>unremarkable</w:t>
            </w:r>
            <w:r w:rsidR="00ED7C75" w:rsidRPr="006E1048">
              <w:rPr>
                <w:sz w:val="14"/>
                <w:szCs w:val="14"/>
              </w:rPr>
              <w:t xml:space="preserve"> </w:t>
            </w:r>
            <w:r w:rsidR="00ED7C75" w:rsidRPr="00FD0090">
              <w:rPr>
                <w:rFonts w:ascii="Wingdings" w:eastAsia="Wingdings" w:hAnsi="Wingdings" w:cs="Wingdings"/>
                <w:b/>
                <w:bCs/>
                <w:sz w:val="14"/>
                <w:szCs w:val="14"/>
              </w:rPr>
              <w:t></w:t>
            </w:r>
            <w:r w:rsidR="00ED7C75" w:rsidRPr="00FD0090">
              <w:rPr>
                <w:b/>
                <w:bCs/>
                <w:sz w:val="14"/>
                <w:szCs w:val="14"/>
              </w:rPr>
              <w:t xml:space="preserve"> </w:t>
            </w:r>
            <w:r w:rsidR="0003160C" w:rsidRPr="006F0CB0">
              <w:rPr>
                <w:b/>
                <w:bCs/>
                <w:sz w:val="14"/>
                <w:szCs w:val="14"/>
              </w:rPr>
              <w:t>refer</w:t>
            </w:r>
            <w:r w:rsidR="00ED7C75" w:rsidRPr="006F0CB0">
              <w:rPr>
                <w:b/>
                <w:bCs/>
                <w:sz w:val="14"/>
                <w:szCs w:val="14"/>
              </w:rPr>
              <w:t xml:space="preserve"> </w:t>
            </w:r>
            <w:r w:rsidR="00B62EC0" w:rsidRPr="006F0CB0">
              <w:rPr>
                <w:b/>
                <w:bCs/>
                <w:sz w:val="14"/>
                <w:szCs w:val="14"/>
              </w:rPr>
              <w:t>2ww</w:t>
            </w:r>
            <w:r w:rsidR="001A03F7" w:rsidRPr="006F0CB0">
              <w:rPr>
                <w:b/>
                <w:bCs/>
                <w:sz w:val="14"/>
                <w:szCs w:val="14"/>
              </w:rPr>
              <w:t xml:space="preserve"> (with FIT result</w:t>
            </w:r>
            <w:r w:rsidR="00F23750">
              <w:rPr>
                <w:b/>
                <w:bCs/>
                <w:sz w:val="14"/>
                <w:szCs w:val="14"/>
              </w:rPr>
              <w:t>;</w:t>
            </w:r>
            <w:r w:rsidR="00BB47D3">
              <w:rPr>
                <w:b/>
                <w:bCs/>
                <w:sz w:val="14"/>
                <w:szCs w:val="14"/>
              </w:rPr>
              <w:t xml:space="preserve"> </w:t>
            </w:r>
            <w:r w:rsidR="00F23750">
              <w:rPr>
                <w:b/>
                <w:bCs/>
                <w:sz w:val="14"/>
                <w:szCs w:val="14"/>
              </w:rPr>
              <w:t>note</w:t>
            </w:r>
            <w:r w:rsidR="00591F70">
              <w:rPr>
                <w:b/>
                <w:bCs/>
                <w:sz w:val="14"/>
                <w:szCs w:val="14"/>
              </w:rPr>
              <w:t>:</w:t>
            </w:r>
            <w:r w:rsidR="00F23750">
              <w:rPr>
                <w:b/>
                <w:bCs/>
                <w:sz w:val="14"/>
                <w:szCs w:val="14"/>
              </w:rPr>
              <w:t xml:space="preserve"> FIT</w:t>
            </w:r>
            <w:r w:rsidR="00BB4717">
              <w:rPr>
                <w:b/>
                <w:bCs/>
                <w:sz w:val="14"/>
                <w:szCs w:val="14"/>
              </w:rPr>
              <w:t xml:space="preserve">&lt;10 patients can still be referred, but FIT value </w:t>
            </w:r>
            <w:r w:rsidR="00591F70">
              <w:rPr>
                <w:b/>
                <w:bCs/>
                <w:sz w:val="14"/>
                <w:szCs w:val="14"/>
              </w:rPr>
              <w:t xml:space="preserve">is </w:t>
            </w:r>
            <w:r w:rsidR="00BB4717">
              <w:rPr>
                <w:b/>
                <w:bCs/>
                <w:sz w:val="14"/>
                <w:szCs w:val="14"/>
              </w:rPr>
              <w:t xml:space="preserve">required as it </w:t>
            </w:r>
            <w:r w:rsidR="00591F70">
              <w:rPr>
                <w:b/>
                <w:bCs/>
                <w:sz w:val="14"/>
                <w:szCs w:val="14"/>
              </w:rPr>
              <w:t>influences secondary care tests</w:t>
            </w:r>
            <w:r w:rsidR="00864F20">
              <w:rPr>
                <w:b/>
                <w:bCs/>
                <w:sz w:val="14"/>
                <w:szCs w:val="14"/>
              </w:rPr>
              <w:t xml:space="preserve">) </w:t>
            </w:r>
            <w:r w:rsidR="00864F20" w:rsidRPr="006E1048">
              <w:rPr>
                <w:sz w:val="14"/>
                <w:szCs w:val="14"/>
              </w:rPr>
              <w:t>(</w:t>
            </w:r>
            <w:r w:rsidR="00591F4C">
              <w:rPr>
                <w:sz w:val="14"/>
                <w:szCs w:val="14"/>
              </w:rPr>
              <w:t xml:space="preserve">refer </w:t>
            </w:r>
            <w:r w:rsidR="00864F20" w:rsidRPr="006E1048">
              <w:rPr>
                <w:sz w:val="14"/>
                <w:szCs w:val="14"/>
              </w:rPr>
              <w:t>GI if felt to be GI, otherwise SNSS)</w:t>
            </w:r>
            <w:r w:rsidR="00864F20">
              <w:rPr>
                <w:sz w:val="14"/>
                <w:szCs w:val="14"/>
              </w:rPr>
              <w:t>;</w:t>
            </w:r>
          </w:p>
          <w:p w14:paraId="436B9CAA" w14:textId="1CBD4D24" w:rsidR="00ED7C75" w:rsidRPr="005E47F7" w:rsidRDefault="00ED7C75" w:rsidP="003040AA">
            <w:pPr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>SECONDARY CARE:</w:t>
            </w:r>
            <w:r w:rsidR="00363DFB" w:rsidRPr="005E47F7">
              <w:rPr>
                <w:color w:val="2E74B5" w:themeColor="accent1" w:themeShade="BF"/>
                <w:sz w:val="14"/>
                <w:szCs w:val="14"/>
              </w:rPr>
              <w:t xml:space="preserve"> </w:t>
            </w:r>
            <w:r w:rsidR="00F8490F" w:rsidRPr="005E47F7">
              <w:rPr>
                <w:color w:val="2E74B5" w:themeColor="accent1" w:themeShade="BF"/>
                <w:sz w:val="14"/>
                <w:szCs w:val="14"/>
              </w:rPr>
              <w:t>request CT CAP; c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onsider adding CT pancreas </w:t>
            </w:r>
            <w:r w:rsidR="006C1CD6" w:rsidRPr="005E47F7">
              <w:rPr>
                <w:color w:val="2E74B5" w:themeColor="accent1" w:themeShade="BF"/>
                <w:sz w:val="14"/>
                <w:szCs w:val="14"/>
              </w:rPr>
              <w:t xml:space="preserve">or CTC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if suspicion </w:t>
            </w:r>
            <w:r w:rsidR="000C09B5" w:rsidRPr="005E47F7">
              <w:rPr>
                <w:color w:val="2E74B5" w:themeColor="accent1" w:themeShade="BF"/>
                <w:sz w:val="14"/>
                <w:szCs w:val="14"/>
              </w:rPr>
              <w:t>of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pancreatic</w:t>
            </w:r>
            <w:r w:rsidR="006C1CD6" w:rsidRPr="005E47F7">
              <w:rPr>
                <w:color w:val="2E74B5" w:themeColor="accent1" w:themeShade="BF"/>
                <w:sz w:val="14"/>
                <w:szCs w:val="14"/>
              </w:rPr>
              <w:t xml:space="preserve"> or bowel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can</w:t>
            </w:r>
            <w:r w:rsidR="003D7A25" w:rsidRPr="005E47F7">
              <w:rPr>
                <w:color w:val="2E74B5" w:themeColor="accent1" w:themeShade="BF"/>
                <w:sz w:val="14"/>
                <w:szCs w:val="14"/>
              </w:rPr>
              <w:t>c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er</w:t>
            </w:r>
            <w:r w:rsidR="006C1CD6" w:rsidRPr="005E47F7">
              <w:rPr>
                <w:color w:val="2E74B5" w:themeColor="accent1" w:themeShade="BF"/>
                <w:sz w:val="14"/>
                <w:szCs w:val="14"/>
              </w:rPr>
              <w:t xml:space="preserve">. </w:t>
            </w:r>
            <w:r w:rsidR="003040AA" w:rsidRPr="005E47F7">
              <w:rPr>
                <w:color w:val="2E74B5" w:themeColor="accent1" w:themeShade="BF"/>
                <w:sz w:val="14"/>
                <w:szCs w:val="14"/>
              </w:rPr>
              <w:t xml:space="preserve">If </w:t>
            </w:r>
            <w:r w:rsidRPr="005E47F7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CT </w:t>
            </w:r>
            <w:r w:rsidR="00F45C7E" w:rsidRPr="005E47F7">
              <w:rPr>
                <w:color w:val="2E74B5" w:themeColor="accent1" w:themeShade="BF"/>
                <w:sz w:val="14"/>
                <w:szCs w:val="14"/>
              </w:rPr>
              <w:t>unremarkable</w:t>
            </w:r>
            <w:r w:rsidR="006571AD" w:rsidRPr="005E47F7">
              <w:rPr>
                <w:color w:val="2E74B5" w:themeColor="accent1" w:themeShade="BF"/>
                <w:sz w:val="14"/>
                <w:szCs w:val="14"/>
              </w:rPr>
              <w:t xml:space="preserve"> (or request in parallel)</w:t>
            </w:r>
            <w:r w:rsidRPr="005E47F7">
              <w:rPr>
                <w:rFonts w:cstheme="minorHAnsi"/>
                <w:color w:val="2E74B5" w:themeColor="accent1" w:themeShade="BF"/>
                <w:sz w:val="14"/>
                <w:szCs w:val="14"/>
              </w:rPr>
              <w:t>:</w:t>
            </w:r>
          </w:p>
          <w:p w14:paraId="12660D9D" w14:textId="25451F6B" w:rsidR="00ED7C75" w:rsidRPr="005E47F7" w:rsidRDefault="0042394B" w:rsidP="00426D2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UGI symptoms </w:t>
            </w:r>
            <w:r w:rsidR="00ED7C75" w:rsidRPr="005E47F7">
              <w:rPr>
                <w:rFonts w:ascii="Wingdings" w:eastAsia="Wingdings" w:hAnsi="Wingdings"/>
                <w:color w:val="2E74B5" w:themeColor="accent1" w:themeShade="BF"/>
                <w:sz w:val="14"/>
                <w:szCs w:val="14"/>
              </w:rPr>
              <w:t></w:t>
            </w:r>
            <w:r w:rsidR="00ED7C75" w:rsidRPr="005E47F7">
              <w:rPr>
                <w:color w:val="2E74B5" w:themeColor="accent1" w:themeShade="BF"/>
                <w:sz w:val="14"/>
                <w:szCs w:val="14"/>
              </w:rPr>
              <w:t xml:space="preserve"> gastroscopy</w:t>
            </w:r>
          </w:p>
          <w:p w14:paraId="16EC2058" w14:textId="09497E2B" w:rsidR="006E1048" w:rsidRPr="005E47F7" w:rsidRDefault="00ED7C75" w:rsidP="00426D2F">
            <w:pPr>
              <w:pStyle w:val="ListParagraph"/>
              <w:numPr>
                <w:ilvl w:val="0"/>
                <w:numId w:val="5"/>
              </w:numPr>
              <w:rPr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FIT10+ </w:t>
            </w:r>
            <w:r w:rsidRPr="005E47F7">
              <w:rPr>
                <w:rFonts w:ascii="Wingdings" w:eastAsia="Wingdings" w:hAnsi="Wingdings"/>
                <w:color w:val="2E74B5" w:themeColor="accent1" w:themeShade="BF"/>
                <w:sz w:val="14"/>
                <w:szCs w:val="14"/>
              </w:rPr>
              <w:t>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colonoscopy</w:t>
            </w:r>
            <w:r w:rsidR="008029B1" w:rsidRPr="005E47F7">
              <w:rPr>
                <w:color w:val="2E74B5" w:themeColor="accent1" w:themeShade="BF"/>
                <w:sz w:val="14"/>
                <w:szCs w:val="14"/>
              </w:rPr>
              <w:t>/CTC</w:t>
            </w:r>
          </w:p>
          <w:p w14:paraId="44B8435E" w14:textId="79A3AB36" w:rsidR="00ED7C75" w:rsidRPr="006E1048" w:rsidRDefault="00D16A3C" w:rsidP="00426D2F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Nil GI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sym w:font="Wingdings" w:char="F0E0"/>
            </w:r>
            <w:r w:rsidR="00ED7C75" w:rsidRPr="005E47F7">
              <w:rPr>
                <w:color w:val="2E74B5" w:themeColor="accent1" w:themeShade="BF"/>
                <w:sz w:val="14"/>
                <w:szCs w:val="14"/>
              </w:rPr>
              <w:t xml:space="preserve"> manage as per SNSS pathway</w:t>
            </w:r>
          </w:p>
        </w:tc>
      </w:tr>
      <w:tr w:rsidR="00817759" w:rsidRPr="00FB4A23" w14:paraId="6BD194CE" w14:textId="77777777" w:rsidTr="00A74AD5">
        <w:tc>
          <w:tcPr>
            <w:tcW w:w="0" w:type="auto"/>
            <w:vMerge/>
          </w:tcPr>
          <w:p w14:paraId="7D4E8FF7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49F6046B" w14:textId="567C2B6A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7E14694A" w14:textId="6B10BBA0" w:rsidR="007B20C1" w:rsidRPr="00FB4A23" w:rsidRDefault="007B20C1" w:rsidP="007B20C1">
            <w:pPr>
              <w:rPr>
                <w:b/>
                <w:bCs/>
                <w:color w:val="0070C0"/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 xml:space="preserve">SIGNIFICANT </w:t>
            </w:r>
            <w:r w:rsidR="008263B8">
              <w:rPr>
                <w:b/>
                <w:bCs/>
                <w:color w:val="0070C0"/>
                <w:sz w:val="14"/>
                <w:szCs w:val="14"/>
              </w:rPr>
              <w:t xml:space="preserve">NON-DYSPEPTIC </w:t>
            </w:r>
            <w:r w:rsidRPr="00FB4A23">
              <w:rPr>
                <w:b/>
                <w:bCs/>
                <w:color w:val="0070C0"/>
                <w:sz w:val="14"/>
                <w:szCs w:val="14"/>
              </w:rPr>
              <w:t>NEW</w:t>
            </w:r>
            <w:r>
              <w:rPr>
                <w:b/>
                <w:bCs/>
                <w:color w:val="0070C0"/>
                <w:sz w:val="14"/>
                <w:szCs w:val="14"/>
              </w:rPr>
              <w:t>-</w:t>
            </w:r>
            <w:r w:rsidRPr="00FB4A23">
              <w:rPr>
                <w:b/>
                <w:bCs/>
                <w:color w:val="0070C0"/>
                <w:sz w:val="14"/>
                <w:szCs w:val="14"/>
              </w:rPr>
              <w:t>ONSET ABDOMINAL PAIN</w:t>
            </w:r>
            <w:r w:rsidRPr="00FB4A23">
              <w:rPr>
                <w:color w:val="0070C0"/>
                <w:sz w:val="14"/>
                <w:szCs w:val="14"/>
              </w:rPr>
              <w:t xml:space="preserve"> </w:t>
            </w:r>
            <w:r w:rsidRPr="00FB4A23">
              <w:rPr>
                <w:sz w:val="14"/>
                <w:szCs w:val="14"/>
              </w:rPr>
              <w:t xml:space="preserve">of </w:t>
            </w:r>
            <w:r w:rsidR="00AE1043">
              <w:rPr>
                <w:sz w:val="14"/>
                <w:szCs w:val="14"/>
              </w:rPr>
              <w:t>4</w:t>
            </w:r>
            <w:r w:rsidRPr="00FB4A23">
              <w:rPr>
                <w:sz w:val="14"/>
                <w:szCs w:val="14"/>
              </w:rPr>
              <w:t xml:space="preserve"> weeks or more (less if very significant concern) </w:t>
            </w:r>
            <w:r w:rsidRPr="00FF249E">
              <w:rPr>
                <w:sz w:val="14"/>
                <w:szCs w:val="14"/>
                <w:u w:val="single"/>
              </w:rPr>
              <w:t>where concern is malignancy</w:t>
            </w:r>
            <w:r w:rsidRPr="003840C5">
              <w:rPr>
                <w:sz w:val="14"/>
                <w:szCs w:val="14"/>
              </w:rPr>
              <w:t xml:space="preserve"> (previously uninvestigated*; where appropriate, follow NCA </w:t>
            </w:r>
            <w:r w:rsidRPr="003840C5">
              <w:rPr>
                <w:b/>
                <w:bCs/>
                <w:sz w:val="14"/>
                <w:szCs w:val="14"/>
              </w:rPr>
              <w:t xml:space="preserve">dyspepsia guidelines </w:t>
            </w:r>
            <w:r w:rsidRPr="003840C5">
              <w:rPr>
                <w:sz w:val="14"/>
                <w:szCs w:val="14"/>
              </w:rPr>
              <w:t>first)</w:t>
            </w:r>
            <w:r>
              <w:rPr>
                <w:sz w:val="14"/>
                <w:szCs w:val="14"/>
              </w:rPr>
              <w:t>;</w:t>
            </w:r>
            <w:r w:rsidRPr="00FB4A23">
              <w:rPr>
                <w:sz w:val="14"/>
                <w:szCs w:val="14"/>
              </w:rPr>
              <w:t xml:space="preserve"> [investigate significant weight loss as above first]</w:t>
            </w:r>
            <w:r w:rsidR="00362BFA">
              <w:rPr>
                <w:sz w:val="14"/>
                <w:szCs w:val="14"/>
              </w:rPr>
              <w:t xml:space="preserve">. </w:t>
            </w:r>
            <w:r w:rsidR="00D21D36">
              <w:rPr>
                <w:sz w:val="14"/>
                <w:szCs w:val="14"/>
              </w:rPr>
              <w:t xml:space="preserve">See below for separate treatment-resistant dyspepsia </w:t>
            </w:r>
            <w:r w:rsidR="00D40FDE">
              <w:rPr>
                <w:sz w:val="14"/>
                <w:szCs w:val="14"/>
              </w:rPr>
              <w:t xml:space="preserve">management </w:t>
            </w:r>
          </w:p>
        </w:tc>
        <w:tc>
          <w:tcPr>
            <w:tcW w:w="6746" w:type="dxa"/>
          </w:tcPr>
          <w:p w14:paraId="614A7005" w14:textId="16850A92" w:rsidR="007B20C1" w:rsidRPr="006E1048" w:rsidRDefault="0043591E" w:rsidP="007B20C1">
            <w:pPr>
              <w:rPr>
                <w:sz w:val="14"/>
                <w:szCs w:val="14"/>
              </w:rPr>
            </w:pPr>
            <w:r w:rsidRPr="00FD0090">
              <w:rPr>
                <w:sz w:val="14"/>
                <w:szCs w:val="14"/>
              </w:rPr>
              <w:t>Request FIT</w:t>
            </w:r>
            <w:r>
              <w:rPr>
                <w:sz w:val="14"/>
                <w:szCs w:val="14"/>
              </w:rPr>
              <w:t xml:space="preserve">. </w:t>
            </w:r>
            <w:r w:rsidR="00420161">
              <w:rPr>
                <w:b/>
                <w:bCs/>
                <w:sz w:val="14"/>
                <w:szCs w:val="14"/>
              </w:rPr>
              <w:t>Refer</w:t>
            </w:r>
            <w:r w:rsidR="007B20C1" w:rsidRPr="006E1048">
              <w:rPr>
                <w:b/>
                <w:bCs/>
                <w:sz w:val="14"/>
                <w:szCs w:val="14"/>
              </w:rPr>
              <w:t xml:space="preserve"> </w:t>
            </w:r>
            <w:r w:rsidR="00D464E4" w:rsidRPr="00932D33">
              <w:rPr>
                <w:b/>
                <w:bCs/>
                <w:sz w:val="14"/>
                <w:szCs w:val="14"/>
              </w:rPr>
              <w:t xml:space="preserve">2ww (with </w:t>
            </w:r>
            <w:r w:rsidR="00D464E4" w:rsidRPr="00D464E4">
              <w:rPr>
                <w:b/>
                <w:bCs/>
                <w:sz w:val="14"/>
                <w:szCs w:val="14"/>
              </w:rPr>
              <w:t>FIT result; note: FIT&lt;10 patients can still be referred, but FIT value is required as it influences secondary care tests)</w:t>
            </w:r>
            <w:r w:rsidR="00D464E4" w:rsidRPr="006E1048" w:rsidDel="00D464E4">
              <w:rPr>
                <w:b/>
                <w:bCs/>
                <w:sz w:val="14"/>
                <w:szCs w:val="14"/>
              </w:rPr>
              <w:t xml:space="preserve"> </w:t>
            </w:r>
            <w:r w:rsidR="007B20C1" w:rsidRPr="006E1048">
              <w:rPr>
                <w:sz w:val="14"/>
                <w:szCs w:val="14"/>
              </w:rPr>
              <w:t>(</w:t>
            </w:r>
            <w:r w:rsidR="00591F4C">
              <w:rPr>
                <w:sz w:val="14"/>
                <w:szCs w:val="14"/>
              </w:rPr>
              <w:t xml:space="preserve">refer </w:t>
            </w:r>
            <w:r w:rsidR="007B20C1" w:rsidRPr="006E1048">
              <w:rPr>
                <w:sz w:val="14"/>
                <w:szCs w:val="14"/>
              </w:rPr>
              <w:t>GI if felt to be GI, otherwise SNSS)</w:t>
            </w:r>
            <w:r>
              <w:rPr>
                <w:sz w:val="14"/>
                <w:szCs w:val="14"/>
              </w:rPr>
              <w:t>;</w:t>
            </w:r>
            <w:r w:rsidR="001C5864">
              <w:rPr>
                <w:sz w:val="14"/>
                <w:szCs w:val="14"/>
              </w:rPr>
              <w:t xml:space="preserve"> </w:t>
            </w:r>
          </w:p>
          <w:p w14:paraId="1FE0659D" w14:textId="78FA4F88" w:rsidR="00836CFF" w:rsidRPr="005E47F7" w:rsidRDefault="00836CFF" w:rsidP="00836CFF">
            <w:pPr>
              <w:rPr>
                <w:rFonts w:cstheme="minorHAnsi"/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SECONDARY CARE: </w:t>
            </w:r>
            <w:r w:rsidR="0094290E" w:rsidRPr="005E47F7">
              <w:rPr>
                <w:color w:val="2E74B5" w:themeColor="accent1" w:themeShade="BF"/>
                <w:sz w:val="14"/>
                <w:szCs w:val="14"/>
              </w:rPr>
              <w:t>request CT AP; consider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adding CT pancreas or CTC if suspicion of pancreatic or bowel cancer. If </w:t>
            </w:r>
            <w:r w:rsidRPr="005E47F7">
              <w:rPr>
                <w:rFonts w:cstheme="minorHAnsi"/>
                <w:color w:val="2E74B5" w:themeColor="accent1" w:themeShade="BF"/>
                <w:sz w:val="14"/>
                <w:szCs w:val="14"/>
              </w:rPr>
              <w:t xml:space="preserve">CT </w:t>
            </w:r>
            <w:r w:rsidR="00F45C7E" w:rsidRPr="005E47F7">
              <w:rPr>
                <w:color w:val="2E74B5" w:themeColor="accent1" w:themeShade="BF"/>
                <w:sz w:val="14"/>
                <w:szCs w:val="14"/>
              </w:rPr>
              <w:t>unremarkable</w:t>
            </w:r>
            <w:r w:rsidR="002877BD" w:rsidRPr="005E47F7">
              <w:rPr>
                <w:color w:val="2E74B5" w:themeColor="accent1" w:themeShade="BF"/>
                <w:sz w:val="14"/>
                <w:szCs w:val="14"/>
              </w:rPr>
              <w:t xml:space="preserve"> (or request in parallel)</w:t>
            </w:r>
            <w:r w:rsidR="002877BD" w:rsidRPr="005E47F7">
              <w:rPr>
                <w:rFonts w:cstheme="minorHAnsi"/>
                <w:color w:val="2E74B5" w:themeColor="accent1" w:themeShade="BF"/>
                <w:sz w:val="14"/>
                <w:szCs w:val="14"/>
              </w:rPr>
              <w:t>:</w:t>
            </w:r>
          </w:p>
          <w:p w14:paraId="42A71F6F" w14:textId="77777777" w:rsidR="007B20C1" w:rsidRPr="005E47F7" w:rsidRDefault="007B20C1" w:rsidP="00426D2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UGI symptoms </w:t>
            </w:r>
            <w:r w:rsidRPr="005E47F7">
              <w:rPr>
                <w:rFonts w:ascii="Wingdings" w:eastAsia="Wingdings" w:hAnsi="Wingdings"/>
                <w:color w:val="2E74B5" w:themeColor="accent1" w:themeShade="BF"/>
                <w:sz w:val="14"/>
                <w:szCs w:val="14"/>
              </w:rPr>
              <w:t>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gastroscopy</w:t>
            </w:r>
          </w:p>
          <w:p w14:paraId="4B251F81" w14:textId="77777777" w:rsidR="006E5148" w:rsidRPr="005E47F7" w:rsidRDefault="007B20C1" w:rsidP="00426D2F">
            <w:pPr>
              <w:pStyle w:val="ListParagraph"/>
              <w:numPr>
                <w:ilvl w:val="0"/>
                <w:numId w:val="5"/>
              </w:numPr>
              <w:rPr>
                <w:color w:val="2E74B5" w:themeColor="accent1" w:themeShade="BF"/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FIT10+ </w:t>
            </w:r>
            <w:r w:rsidRPr="005E47F7">
              <w:rPr>
                <w:rFonts w:ascii="Wingdings" w:eastAsia="Wingdings" w:hAnsi="Wingdings"/>
                <w:color w:val="2E74B5" w:themeColor="accent1" w:themeShade="BF"/>
                <w:sz w:val="14"/>
                <w:szCs w:val="14"/>
              </w:rPr>
              <w:t>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colonoscopy</w:t>
            </w:r>
            <w:r w:rsidR="008029B1" w:rsidRPr="005E47F7">
              <w:rPr>
                <w:color w:val="2E74B5" w:themeColor="accent1" w:themeShade="BF"/>
                <w:sz w:val="14"/>
                <w:szCs w:val="14"/>
              </w:rPr>
              <w:t>/CTC</w:t>
            </w:r>
          </w:p>
          <w:p w14:paraId="701835B7" w14:textId="336BD708" w:rsidR="007B20C1" w:rsidRPr="006E1048" w:rsidRDefault="007B20C1" w:rsidP="00426D2F">
            <w:pPr>
              <w:pStyle w:val="ListParagraph"/>
              <w:numPr>
                <w:ilvl w:val="0"/>
                <w:numId w:val="5"/>
              </w:numPr>
              <w:rPr>
                <w:sz w:val="14"/>
                <w:szCs w:val="14"/>
              </w:rPr>
            </w:pP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Nil GI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sym w:font="Wingdings" w:char="F0E0"/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 manage as per SNSS pathway</w:t>
            </w:r>
          </w:p>
        </w:tc>
      </w:tr>
      <w:tr w:rsidR="00817759" w:rsidRPr="00FB4A23" w14:paraId="708DAA3D" w14:textId="77777777" w:rsidTr="00A74AD5">
        <w:tc>
          <w:tcPr>
            <w:tcW w:w="0" w:type="auto"/>
            <w:vMerge/>
          </w:tcPr>
          <w:p w14:paraId="1E463ADD" w14:textId="77777777" w:rsidR="007B20C1" w:rsidRPr="00FB4A23" w:rsidRDefault="007B20C1" w:rsidP="007B20C1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63028163" w14:textId="60FB284F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40 </w:t>
            </w:r>
          </w:p>
        </w:tc>
        <w:tc>
          <w:tcPr>
            <w:tcW w:w="7102" w:type="dxa"/>
            <w:shd w:val="clear" w:color="auto" w:fill="auto"/>
          </w:tcPr>
          <w:p w14:paraId="722A9A70" w14:textId="22B98B1D" w:rsidR="007B20C1" w:rsidRPr="0075553C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>IRON DEFICIENCY ANAEMIA</w:t>
            </w:r>
            <w:r w:rsidRPr="00FB4A23">
              <w:rPr>
                <w:color w:val="0070C0"/>
                <w:sz w:val="14"/>
                <w:szCs w:val="14"/>
              </w:rPr>
              <w:t xml:space="preserve"> </w:t>
            </w:r>
            <w:r w:rsidRPr="00FB4A23">
              <w:rPr>
                <w:sz w:val="14"/>
                <w:szCs w:val="14"/>
              </w:rPr>
              <w:t xml:space="preserve">(Previously uninvestigated*; men and non-menstruating women only; proven by low Hb &amp; </w:t>
            </w:r>
            <w:r w:rsidR="006C79F9">
              <w:rPr>
                <w:sz w:val="14"/>
                <w:szCs w:val="14"/>
              </w:rPr>
              <w:t>one of:</w:t>
            </w:r>
            <w:r w:rsidR="006C79F9"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sz w:val="14"/>
                <w:szCs w:val="14"/>
              </w:rPr>
              <w:t>low ferritin</w:t>
            </w:r>
            <w:r w:rsidR="006C79F9" w:rsidRPr="0075553C">
              <w:rPr>
                <w:sz w:val="14"/>
                <w:szCs w:val="14"/>
              </w:rPr>
              <w:t xml:space="preserve">, </w:t>
            </w:r>
            <w:r w:rsidRPr="0075553C">
              <w:rPr>
                <w:sz w:val="14"/>
                <w:szCs w:val="14"/>
              </w:rPr>
              <w:t>low MCV</w:t>
            </w:r>
            <w:r w:rsidR="006C79F9" w:rsidRPr="0075553C">
              <w:rPr>
                <w:sz w:val="14"/>
                <w:szCs w:val="14"/>
              </w:rPr>
              <w:t xml:space="preserve"> or low MCH</w:t>
            </w:r>
            <w:r w:rsidRPr="0075553C">
              <w:rPr>
                <w:sz w:val="14"/>
                <w:szCs w:val="14"/>
              </w:rPr>
              <w:t>) [investigate significant weight loss as above first]</w:t>
            </w:r>
          </w:p>
          <w:p w14:paraId="49E26890" w14:textId="0DD23C39" w:rsidR="007B20C1" w:rsidRPr="0075553C" w:rsidRDefault="007B20C1" w:rsidP="007B20C1">
            <w:pPr>
              <w:rPr>
                <w:sz w:val="14"/>
                <w:szCs w:val="14"/>
              </w:rPr>
            </w:pPr>
          </w:p>
          <w:p w14:paraId="458447F2" w14:textId="431A98B9" w:rsidR="007B20C1" w:rsidRPr="0075553C" w:rsidRDefault="007B20C1" w:rsidP="007B20C1">
            <w:pPr>
              <w:rPr>
                <w:i/>
                <w:iCs/>
                <w:sz w:val="14"/>
                <w:szCs w:val="14"/>
              </w:rPr>
            </w:pPr>
            <w:r w:rsidRPr="0075553C">
              <w:rPr>
                <w:i/>
                <w:iCs/>
                <w:sz w:val="14"/>
                <w:szCs w:val="14"/>
              </w:rPr>
              <w:t xml:space="preserve">Notes: Do not refer under 2ww unless confirmed IDA (low Hb and </w:t>
            </w:r>
            <w:r w:rsidR="006C79F9" w:rsidRPr="0075553C">
              <w:rPr>
                <w:i/>
                <w:iCs/>
                <w:sz w:val="14"/>
                <w:szCs w:val="14"/>
              </w:rPr>
              <w:t>one of: low ferritin, low MCV or low MCH</w:t>
            </w:r>
            <w:r w:rsidRPr="0075553C">
              <w:rPr>
                <w:i/>
                <w:iCs/>
                <w:sz w:val="14"/>
                <w:szCs w:val="14"/>
              </w:rPr>
              <w:t>). If anaemic but not confirmed iron deficiency, consider other causes of anaemia [inc myeloma] and haematology A&amp;G. FIT may also help clarify if iron-deficiency suspected but unproven.</w:t>
            </w:r>
          </w:p>
          <w:p w14:paraId="7EC8E334" w14:textId="646EFCE1" w:rsidR="007B20C1" w:rsidRPr="0075553C" w:rsidRDefault="007B20C1" w:rsidP="007B20C1">
            <w:pPr>
              <w:rPr>
                <w:i/>
                <w:iCs/>
                <w:sz w:val="14"/>
                <w:szCs w:val="14"/>
              </w:rPr>
            </w:pPr>
            <w:r w:rsidRPr="0075553C">
              <w:rPr>
                <w:i/>
                <w:iCs/>
                <w:sz w:val="14"/>
                <w:szCs w:val="14"/>
              </w:rPr>
              <w:t>If &lt;40, or &gt;40yo menstruating woman, or low ferritin but normal Hb, then do FIT test first &amp; only refer if FIT10+.</w:t>
            </w:r>
          </w:p>
          <w:p w14:paraId="5CF278B7" w14:textId="767520F7" w:rsidR="007B20C1" w:rsidRPr="00FB4A23" w:rsidRDefault="007B20C1" w:rsidP="007B20C1">
            <w:pPr>
              <w:rPr>
                <w:sz w:val="14"/>
                <w:szCs w:val="14"/>
              </w:rPr>
            </w:pPr>
            <w:r w:rsidRPr="0075553C">
              <w:rPr>
                <w:i/>
                <w:iCs/>
                <w:sz w:val="14"/>
                <w:szCs w:val="14"/>
              </w:rPr>
              <w:t>IDA is often a chronic condition. Most people with previously investigated IDA do not require re-investigation simply because IDA recurs. Re-referral (via A&amp;G</w:t>
            </w:r>
            <w:r w:rsidR="009B7D0D" w:rsidRPr="0075553C">
              <w:rPr>
                <w:i/>
                <w:iCs/>
                <w:sz w:val="14"/>
                <w:szCs w:val="14"/>
              </w:rPr>
              <w:t xml:space="preserve"> or to </w:t>
            </w:r>
            <w:r w:rsidR="00E5050F" w:rsidRPr="0075553C">
              <w:rPr>
                <w:i/>
                <w:iCs/>
                <w:sz w:val="14"/>
                <w:szCs w:val="14"/>
              </w:rPr>
              <w:t>an IDA clinic</w:t>
            </w:r>
            <w:r w:rsidRPr="0075553C">
              <w:rPr>
                <w:i/>
                <w:iCs/>
                <w:sz w:val="14"/>
                <w:szCs w:val="14"/>
              </w:rPr>
              <w:t>) is usually only necessary if</w:t>
            </w:r>
            <w:r w:rsidRPr="396C293F">
              <w:rPr>
                <w:i/>
                <w:iCs/>
                <w:sz w:val="14"/>
                <w:szCs w:val="14"/>
              </w:rPr>
              <w:t xml:space="preserve"> Hb does not normalise with iron therapy or drops despite chronic iron therapy.</w:t>
            </w:r>
          </w:p>
        </w:tc>
        <w:tc>
          <w:tcPr>
            <w:tcW w:w="6746" w:type="dxa"/>
          </w:tcPr>
          <w:p w14:paraId="7AD14208" w14:textId="75529FC3" w:rsidR="007B20C1" w:rsidRPr="00FB4A23" w:rsidRDefault="00CD3A3E" w:rsidP="007B20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396C293F">
              <w:rPr>
                <w:sz w:val="14"/>
                <w:szCs w:val="14"/>
              </w:rPr>
              <w:t xml:space="preserve">o </w:t>
            </w:r>
            <w:r>
              <w:rPr>
                <w:sz w:val="14"/>
                <w:szCs w:val="14"/>
              </w:rPr>
              <w:t xml:space="preserve">coeliac serology &amp; </w:t>
            </w:r>
            <w:r w:rsidRPr="396C293F">
              <w:rPr>
                <w:sz w:val="14"/>
                <w:szCs w:val="14"/>
              </w:rPr>
              <w:t>urinalysis as well</w:t>
            </w:r>
            <w:r>
              <w:rPr>
                <w:sz w:val="14"/>
                <w:szCs w:val="14"/>
              </w:rPr>
              <w:t xml:space="preserve">. </w:t>
            </w:r>
            <w:r w:rsidR="007B20C1" w:rsidRPr="396C293F">
              <w:rPr>
                <w:b/>
                <w:bCs/>
                <w:sz w:val="14"/>
                <w:szCs w:val="14"/>
              </w:rPr>
              <w:t>Refer 2ww</w:t>
            </w:r>
            <w:r w:rsidR="007B20C1" w:rsidRPr="396C293F">
              <w:rPr>
                <w:sz w:val="14"/>
                <w:szCs w:val="14"/>
              </w:rPr>
              <w:t xml:space="preserve"> </w:t>
            </w:r>
            <w:r w:rsidR="007B20C1" w:rsidRPr="00254B23">
              <w:rPr>
                <w:color w:val="2E74B5" w:themeColor="accent1" w:themeShade="BF"/>
                <w:sz w:val="14"/>
                <w:szCs w:val="14"/>
              </w:rPr>
              <w:t>[</w:t>
            </w:r>
            <w:r w:rsidRPr="00254B23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="007B20C1" w:rsidRPr="00254B23">
              <w:rPr>
                <w:color w:val="2E74B5" w:themeColor="accent1" w:themeShade="BF"/>
                <w:sz w:val="14"/>
                <w:szCs w:val="14"/>
              </w:rPr>
              <w:t>gastroscopy and colonoscopy/CTC]</w:t>
            </w:r>
            <w:r w:rsidR="007B20C1" w:rsidRPr="396C293F">
              <w:rPr>
                <w:sz w:val="14"/>
                <w:szCs w:val="14"/>
              </w:rPr>
              <w:t xml:space="preserve">; </w:t>
            </w:r>
          </w:p>
          <w:p w14:paraId="48DF28B0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  <w:p w14:paraId="3428C47A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17759" w:rsidRPr="00FB4A23" w14:paraId="3FE1AE67" w14:textId="77777777" w:rsidTr="00A74AD5">
        <w:tc>
          <w:tcPr>
            <w:tcW w:w="0" w:type="auto"/>
            <w:vMerge/>
          </w:tcPr>
          <w:p w14:paraId="2C2211CD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4729951A" w14:textId="41B3DC95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68294BF3" w14:textId="07CEC40D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>CHANGE IN BOWEL HABIT</w:t>
            </w:r>
            <w:r w:rsidRPr="00FB4A23">
              <w:rPr>
                <w:color w:val="0070C0"/>
                <w:sz w:val="14"/>
                <w:szCs w:val="14"/>
              </w:rPr>
              <w:t xml:space="preserve"> </w:t>
            </w:r>
            <w:r w:rsidRPr="00FB4A23">
              <w:rPr>
                <w:sz w:val="14"/>
                <w:szCs w:val="14"/>
              </w:rPr>
              <w:t>+/- minor or infrequent rectal bleeding (Previously uninvestigated*)</w:t>
            </w:r>
          </w:p>
          <w:p w14:paraId="2C556FD8" w14:textId="77777777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>[investigate significant weight loss as above first]</w:t>
            </w:r>
          </w:p>
          <w:p w14:paraId="057BC97C" w14:textId="78ED5443" w:rsidR="006C005A" w:rsidRDefault="006C005A" w:rsidP="007B20C1">
            <w:pPr>
              <w:rPr>
                <w:i/>
                <w:iCs/>
                <w:sz w:val="14"/>
                <w:szCs w:val="14"/>
              </w:rPr>
            </w:pPr>
          </w:p>
          <w:p w14:paraId="43C693B6" w14:textId="227D81BE" w:rsidR="006C005A" w:rsidRDefault="006C005A" w:rsidP="007B20C1">
            <w:pPr>
              <w:rPr>
                <w:i/>
                <w:iCs/>
                <w:sz w:val="14"/>
                <w:szCs w:val="14"/>
              </w:rPr>
            </w:pPr>
            <w:r w:rsidRPr="00FB4A23">
              <w:rPr>
                <w:i/>
                <w:iCs/>
                <w:sz w:val="14"/>
                <w:szCs w:val="14"/>
              </w:rPr>
              <w:t>Note</w:t>
            </w:r>
            <w:r>
              <w:rPr>
                <w:i/>
                <w:iCs/>
                <w:sz w:val="14"/>
                <w:szCs w:val="14"/>
              </w:rPr>
              <w:t>s</w:t>
            </w:r>
            <w:r w:rsidRPr="00FB4A23">
              <w:rPr>
                <w:i/>
                <w:iCs/>
                <w:sz w:val="14"/>
                <w:szCs w:val="14"/>
              </w:rPr>
              <w:t xml:space="preserve">: </w:t>
            </w:r>
            <w:r>
              <w:rPr>
                <w:i/>
                <w:iCs/>
                <w:sz w:val="14"/>
                <w:szCs w:val="14"/>
              </w:rPr>
              <w:t>most people</w:t>
            </w:r>
            <w:r w:rsidRPr="00FB4A23">
              <w:rPr>
                <w:i/>
                <w:iCs/>
                <w:sz w:val="14"/>
                <w:szCs w:val="14"/>
              </w:rPr>
              <w:t xml:space="preserve"> &lt;40yo </w:t>
            </w:r>
            <w:r>
              <w:rPr>
                <w:i/>
                <w:iCs/>
                <w:sz w:val="14"/>
                <w:szCs w:val="14"/>
              </w:rPr>
              <w:t xml:space="preserve">with </w:t>
            </w:r>
            <w:r w:rsidR="00E157C9">
              <w:rPr>
                <w:i/>
                <w:iCs/>
                <w:sz w:val="14"/>
                <w:szCs w:val="14"/>
              </w:rPr>
              <w:t>change in bowel habit</w:t>
            </w:r>
            <w:r>
              <w:rPr>
                <w:i/>
                <w:iCs/>
                <w:sz w:val="14"/>
                <w:szCs w:val="14"/>
              </w:rPr>
              <w:t xml:space="preserve"> do not need to be referred under 2ww</w:t>
            </w:r>
            <w:r w:rsidR="005821EF">
              <w:rPr>
                <w:i/>
                <w:iCs/>
                <w:sz w:val="14"/>
                <w:szCs w:val="14"/>
              </w:rPr>
              <w:t xml:space="preserve"> as the </w:t>
            </w:r>
            <w:r w:rsidR="005821EF" w:rsidRPr="00FB4A23">
              <w:rPr>
                <w:i/>
                <w:iCs/>
                <w:sz w:val="14"/>
                <w:szCs w:val="14"/>
              </w:rPr>
              <w:t>cancer risk is very low in this age group</w:t>
            </w:r>
            <w:r>
              <w:rPr>
                <w:i/>
                <w:iCs/>
                <w:sz w:val="14"/>
                <w:szCs w:val="14"/>
              </w:rPr>
              <w:t xml:space="preserve"> – please use A&amp;G or refer routinely to colorectal/</w:t>
            </w:r>
            <w:r w:rsidR="00E157C9">
              <w:rPr>
                <w:i/>
                <w:iCs/>
                <w:sz w:val="14"/>
                <w:szCs w:val="14"/>
              </w:rPr>
              <w:t>gastroenterology</w:t>
            </w:r>
            <w:r>
              <w:rPr>
                <w:i/>
                <w:iCs/>
                <w:sz w:val="14"/>
                <w:szCs w:val="14"/>
              </w:rPr>
              <w:t>; however, i</w:t>
            </w:r>
            <w:r w:rsidRPr="00FB4A23">
              <w:rPr>
                <w:i/>
                <w:iCs/>
                <w:sz w:val="14"/>
                <w:szCs w:val="14"/>
              </w:rPr>
              <w:t xml:space="preserve">f &lt;40yo but </w:t>
            </w:r>
            <w:r w:rsidRPr="00FD0090">
              <w:rPr>
                <w:i/>
                <w:iCs/>
                <w:sz w:val="14"/>
                <w:szCs w:val="14"/>
                <w:u w:val="single"/>
              </w:rPr>
              <w:t>significant</w:t>
            </w:r>
            <w:r w:rsidRPr="00FB4A23">
              <w:rPr>
                <w:i/>
                <w:iCs/>
                <w:sz w:val="14"/>
                <w:szCs w:val="14"/>
              </w:rPr>
              <w:t xml:space="preserve"> concern about bowel cancer</w:t>
            </w:r>
            <w:r w:rsidRPr="00122F09">
              <w:rPr>
                <w:i/>
                <w:iCs/>
                <w:sz w:val="14"/>
                <w:szCs w:val="14"/>
              </w:rPr>
              <w:t>, please use</w:t>
            </w:r>
            <w:r w:rsidRPr="00FD0090">
              <w:rPr>
                <w:i/>
                <w:iCs/>
                <w:sz w:val="14"/>
                <w:szCs w:val="14"/>
              </w:rPr>
              <w:t xml:space="preserve"> this</w:t>
            </w:r>
            <w:r w:rsidRPr="00122F09">
              <w:rPr>
                <w:i/>
                <w:iCs/>
                <w:sz w:val="14"/>
                <w:szCs w:val="14"/>
              </w:rPr>
              <w:t xml:space="preserve"> pathway</w:t>
            </w:r>
          </w:p>
          <w:p w14:paraId="2149D319" w14:textId="06B2C2A9" w:rsidR="007B20C1" w:rsidRPr="00FB4A23" w:rsidRDefault="007B20C1" w:rsidP="007B20C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746" w:type="dxa"/>
          </w:tcPr>
          <w:p w14:paraId="7679BE6E" w14:textId="097773FA" w:rsidR="007B20C1" w:rsidRPr="00FB4A23" w:rsidRDefault="007B20C1" w:rsidP="007B20C1">
            <w:pPr>
              <w:rPr>
                <w:sz w:val="14"/>
                <w:szCs w:val="14"/>
              </w:rPr>
            </w:pPr>
            <w:r w:rsidRPr="396C293F">
              <w:rPr>
                <w:sz w:val="14"/>
                <w:szCs w:val="14"/>
              </w:rPr>
              <w:t xml:space="preserve">PR exam mandatory. Add coeliac </w:t>
            </w:r>
            <w:r w:rsidR="00EA5A26">
              <w:rPr>
                <w:sz w:val="14"/>
                <w:szCs w:val="14"/>
              </w:rPr>
              <w:t>&amp;</w:t>
            </w:r>
            <w:r w:rsidRPr="396C293F">
              <w:rPr>
                <w:sz w:val="14"/>
                <w:szCs w:val="14"/>
              </w:rPr>
              <w:t xml:space="preserve"> thyroid function to blood tests. </w:t>
            </w:r>
            <w:r w:rsidRPr="00F168CC">
              <w:rPr>
                <w:sz w:val="14"/>
                <w:szCs w:val="14"/>
              </w:rPr>
              <w:t>Consider stopping PPI / Metformin/ SSRI for 3 weeks before starting investigations</w:t>
            </w:r>
            <w:r w:rsidRPr="396C293F">
              <w:rPr>
                <w:sz w:val="14"/>
                <w:szCs w:val="14"/>
              </w:rPr>
              <w:t>.</w:t>
            </w:r>
            <w:r w:rsidR="009652EA">
              <w:rPr>
                <w:sz w:val="14"/>
                <w:szCs w:val="14"/>
              </w:rPr>
              <w:t xml:space="preserve"> </w:t>
            </w:r>
            <w:r w:rsidRPr="00FB4A23">
              <w:rPr>
                <w:b/>
                <w:bCs/>
                <w:sz w:val="14"/>
                <w:szCs w:val="14"/>
              </w:rPr>
              <w:t>Request FIT</w:t>
            </w:r>
            <w:r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(if possible from sample without visible blood) </w:t>
            </w:r>
            <w:r w:rsidRPr="00FB4A23">
              <w:rPr>
                <w:sz w:val="14"/>
                <w:szCs w:val="14"/>
              </w:rPr>
              <w:t>&amp; await result:</w:t>
            </w:r>
          </w:p>
          <w:p w14:paraId="54203365" w14:textId="028BF2C6" w:rsidR="007B20C1" w:rsidRPr="00FB4A23" w:rsidRDefault="007B20C1" w:rsidP="007B20C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B4A23">
              <w:rPr>
                <w:rFonts w:eastAsiaTheme="minorEastAsia"/>
                <w:sz w:val="14"/>
                <w:szCs w:val="14"/>
              </w:rPr>
              <w:t xml:space="preserve">FIT10+ </w:t>
            </w:r>
            <w:r w:rsidRPr="00FB4A23">
              <w:rPr>
                <w:rFonts w:ascii="Wingdings" w:eastAsiaTheme="minorEastAsia" w:hAnsi="Wingdings" w:cs="Wingdings"/>
                <w:sz w:val="14"/>
                <w:szCs w:val="14"/>
              </w:rPr>
              <w:t>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 </w:t>
            </w:r>
            <w:r w:rsidRPr="00FB4A23">
              <w:rPr>
                <w:rFonts w:eastAsiaTheme="minorEastAsia"/>
                <w:b/>
                <w:bCs/>
                <w:sz w:val="14"/>
                <w:szCs w:val="14"/>
              </w:rPr>
              <w:t xml:space="preserve">refer 2ww </w:t>
            </w:r>
            <w:r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[</w:t>
            </w:r>
            <w:r w:rsidR="00BD135F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colonoscopy</w:t>
            </w:r>
            <w:r w:rsidR="008029B1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/CTC</w:t>
            </w:r>
            <w:r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]</w:t>
            </w:r>
          </w:p>
          <w:p w14:paraId="72609B21" w14:textId="16DF1C33" w:rsidR="007B20C1" w:rsidRPr="00FB4A23" w:rsidRDefault="007B20C1" w:rsidP="007B20C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B4A23">
              <w:rPr>
                <w:rFonts w:eastAsiaTheme="minorEastAsia"/>
                <w:sz w:val="14"/>
                <w:szCs w:val="14"/>
              </w:rPr>
              <w:t xml:space="preserve">FIT&lt;10 </w:t>
            </w:r>
            <w:r w:rsidRPr="00FB4A23">
              <w:rPr>
                <w:rFonts w:ascii="Wingdings" w:eastAsiaTheme="minorEastAsia" w:hAnsi="Wingdings" w:cs="Wingdings"/>
                <w:sz w:val="14"/>
                <w:szCs w:val="14"/>
              </w:rPr>
              <w:t>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 reassure, conservative management, calprotectin if loose stool (</w:t>
            </w:r>
            <w:r w:rsidRPr="00E83958">
              <w:rPr>
                <w:rFonts w:eastAsiaTheme="minorEastAsia"/>
                <w:b/>
                <w:bCs/>
                <w:sz w:val="14"/>
                <w:szCs w:val="14"/>
              </w:rPr>
              <w:t>refer non-2ww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 </w:t>
            </w:r>
            <w:r w:rsidR="00620726" w:rsidRPr="00FB4A23">
              <w:rPr>
                <w:rFonts w:eastAsiaTheme="minorEastAsia"/>
                <w:sz w:val="14"/>
                <w:szCs w:val="14"/>
              </w:rPr>
              <w:t xml:space="preserve">if </w:t>
            </w:r>
            <w:r w:rsidR="00620726">
              <w:rPr>
                <w:rFonts w:eastAsiaTheme="minorEastAsia"/>
                <w:sz w:val="14"/>
                <w:szCs w:val="14"/>
              </w:rPr>
              <w:t xml:space="preserve">&gt;250x1 or &gt;100x2 </w:t>
            </w:r>
            <w:r w:rsidR="00620726" w:rsidRPr="00620726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[</w:t>
            </w:r>
            <w:r w:rsidR="00620726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Secondary care will organise colonoscopy</w:t>
            </w:r>
            <w:r w:rsidR="00620726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>]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), safety-net. </w:t>
            </w:r>
            <w:r w:rsidRPr="00FB4A23">
              <w:rPr>
                <w:sz w:val="14"/>
                <w:szCs w:val="14"/>
              </w:rPr>
              <w:t>Ongoing troublesome symptoms?</w:t>
            </w:r>
          </w:p>
          <w:p w14:paraId="1BEBD7B0" w14:textId="7EF49326" w:rsidR="007B20C1" w:rsidRPr="00FB4A23" w:rsidRDefault="007B20C1" w:rsidP="007B20C1">
            <w:pPr>
              <w:pStyle w:val="ListParagraph"/>
              <w:numPr>
                <w:ilvl w:val="1"/>
                <w:numId w:val="4"/>
              </w:numPr>
              <w:rPr>
                <w:rFonts w:asciiTheme="minorEastAsia" w:eastAsiaTheme="minorEastAsia" w:hAnsiTheme="minorEastAsia" w:cstheme="minorEastAsia"/>
                <w:sz w:val="14"/>
                <w:szCs w:val="14"/>
              </w:rPr>
            </w:pPr>
            <w:r w:rsidRPr="00FB4A23">
              <w:rPr>
                <w:rFonts w:eastAsiaTheme="minorEastAsia"/>
                <w:sz w:val="14"/>
                <w:szCs w:val="14"/>
              </w:rPr>
              <w:t xml:space="preserve">N </w:t>
            </w:r>
            <w:r w:rsidRPr="00FB4A23">
              <w:rPr>
                <w:rFonts w:ascii="Wingdings" w:eastAsiaTheme="minorEastAsia" w:hAnsi="Wingdings" w:cs="Wingdings"/>
                <w:sz w:val="14"/>
                <w:szCs w:val="14"/>
              </w:rPr>
              <w:t>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 continue conservative management </w:t>
            </w:r>
          </w:p>
          <w:p w14:paraId="05EE2458" w14:textId="1BE5DB88" w:rsidR="007B20C1" w:rsidRPr="00FB4A23" w:rsidRDefault="007B20C1" w:rsidP="007B20C1">
            <w:pPr>
              <w:pStyle w:val="ListParagraph"/>
              <w:numPr>
                <w:ilvl w:val="1"/>
                <w:numId w:val="4"/>
              </w:numPr>
              <w:rPr>
                <w:sz w:val="14"/>
                <w:szCs w:val="14"/>
              </w:rPr>
            </w:pPr>
            <w:r w:rsidRPr="396C293F">
              <w:rPr>
                <w:rFonts w:eastAsiaTheme="minorEastAsia"/>
                <w:sz w:val="14"/>
                <w:szCs w:val="14"/>
              </w:rPr>
              <w:t xml:space="preserve">Y </w:t>
            </w:r>
            <w:r w:rsidRPr="396C293F">
              <w:rPr>
                <w:rFonts w:ascii="Wingdings" w:eastAsiaTheme="minorEastAsia" w:hAnsi="Wingdings" w:cs="Wingdings"/>
                <w:sz w:val="14"/>
                <w:szCs w:val="14"/>
              </w:rPr>
              <w:t></w:t>
            </w:r>
            <w:r w:rsidRPr="396C293F">
              <w:rPr>
                <w:rFonts w:eastAsiaTheme="minorEastAsia"/>
                <w:b/>
                <w:bCs/>
                <w:sz w:val="14"/>
                <w:szCs w:val="14"/>
              </w:rPr>
              <w:t xml:space="preserve"> refer </w:t>
            </w:r>
            <w:r w:rsidRPr="396C293F">
              <w:rPr>
                <w:rFonts w:eastAsiaTheme="minorEastAsia"/>
                <w:sz w:val="14"/>
                <w:szCs w:val="14"/>
              </w:rPr>
              <w:t>(A</w:t>
            </w:r>
            <w:r w:rsidR="008437C1">
              <w:rPr>
                <w:rFonts w:eastAsiaTheme="minorEastAsia"/>
                <w:sz w:val="14"/>
                <w:szCs w:val="14"/>
              </w:rPr>
              <w:t>&amp;</w:t>
            </w:r>
            <w:r w:rsidRPr="396C293F">
              <w:rPr>
                <w:rFonts w:eastAsiaTheme="minorEastAsia"/>
                <w:sz w:val="14"/>
                <w:szCs w:val="14"/>
              </w:rPr>
              <w:t>G</w:t>
            </w:r>
            <w:r>
              <w:rPr>
                <w:rFonts w:eastAsiaTheme="minorEastAsia"/>
                <w:sz w:val="14"/>
                <w:szCs w:val="14"/>
              </w:rPr>
              <w:t>/</w:t>
            </w:r>
            <w:r w:rsidRPr="396C293F">
              <w:rPr>
                <w:rFonts w:eastAsiaTheme="minorEastAsia"/>
                <w:sz w:val="14"/>
                <w:szCs w:val="14"/>
              </w:rPr>
              <w:t>non-2ww for troublesome symptom</w:t>
            </w:r>
            <w:r>
              <w:rPr>
                <w:rFonts w:eastAsiaTheme="minorEastAsia"/>
                <w:sz w:val="14"/>
                <w:szCs w:val="14"/>
              </w:rPr>
              <w:t>s</w:t>
            </w:r>
            <w:r w:rsidRPr="396C293F">
              <w:rPr>
                <w:rFonts w:eastAsiaTheme="minorEastAsia"/>
                <w:sz w:val="14"/>
                <w:szCs w:val="14"/>
              </w:rPr>
              <w:t>; 2ww if still significant cancer concern)</w:t>
            </w:r>
          </w:p>
        </w:tc>
      </w:tr>
      <w:tr w:rsidR="00817759" w:rsidRPr="00FB4A23" w14:paraId="320F0FE4" w14:textId="77777777" w:rsidTr="00A74AD5">
        <w:tc>
          <w:tcPr>
            <w:tcW w:w="0" w:type="auto"/>
            <w:vMerge/>
          </w:tcPr>
          <w:p w14:paraId="09229706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413EEC79" w14:textId="770B575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53BEC4FA" w14:textId="7CD8185F" w:rsidR="007B20C1" w:rsidRPr="00FB4A23" w:rsidRDefault="007B20C1" w:rsidP="007B20C1">
            <w:pPr>
              <w:rPr>
                <w:sz w:val="14"/>
                <w:szCs w:val="14"/>
              </w:rPr>
            </w:pPr>
            <w:r w:rsidRPr="396C293F">
              <w:rPr>
                <w:sz w:val="14"/>
                <w:szCs w:val="14"/>
              </w:rPr>
              <w:t xml:space="preserve">Unexplained </w:t>
            </w:r>
            <w:r w:rsidRPr="396C293F">
              <w:rPr>
                <w:b/>
                <w:bCs/>
                <w:color w:val="0070C0"/>
                <w:sz w:val="14"/>
                <w:szCs w:val="14"/>
              </w:rPr>
              <w:t>RECTAL BLEEDING</w:t>
            </w:r>
            <w:r w:rsidRPr="396C293F">
              <w:rPr>
                <w:color w:val="0070C0"/>
                <w:sz w:val="14"/>
                <w:szCs w:val="14"/>
              </w:rPr>
              <w:t> </w:t>
            </w:r>
            <w:r w:rsidRPr="396C293F">
              <w:rPr>
                <w:sz w:val="14"/>
                <w:szCs w:val="14"/>
              </w:rPr>
              <w:t>(Previously uninvestigated*) [investigate significant weight loss as above first]</w:t>
            </w:r>
          </w:p>
          <w:p w14:paraId="46CF0451" w14:textId="77777777" w:rsidR="007B20C1" w:rsidRPr="00FB4A23" w:rsidRDefault="007B20C1" w:rsidP="007B20C1">
            <w:pPr>
              <w:rPr>
                <w:sz w:val="14"/>
                <w:szCs w:val="14"/>
              </w:rPr>
            </w:pPr>
          </w:p>
          <w:p w14:paraId="2602A763" w14:textId="214C6D69" w:rsidR="007B20C1" w:rsidRPr="00FB4A23" w:rsidRDefault="007B20C1">
            <w:pPr>
              <w:rPr>
                <w:i/>
                <w:iCs/>
                <w:sz w:val="14"/>
                <w:szCs w:val="14"/>
              </w:rPr>
            </w:pPr>
            <w:r w:rsidRPr="00FB4A23">
              <w:rPr>
                <w:i/>
                <w:iCs/>
                <w:sz w:val="14"/>
                <w:szCs w:val="14"/>
              </w:rPr>
              <w:t>Note</w:t>
            </w:r>
            <w:r w:rsidR="00863F1C">
              <w:rPr>
                <w:i/>
                <w:iCs/>
                <w:sz w:val="14"/>
                <w:szCs w:val="14"/>
              </w:rPr>
              <w:t>s</w:t>
            </w:r>
            <w:r w:rsidRPr="00FB4A23">
              <w:rPr>
                <w:i/>
                <w:iCs/>
                <w:sz w:val="14"/>
                <w:szCs w:val="14"/>
              </w:rPr>
              <w:t xml:space="preserve">: </w:t>
            </w:r>
            <w:r w:rsidR="00CB1B0E">
              <w:rPr>
                <w:i/>
                <w:iCs/>
                <w:sz w:val="14"/>
                <w:szCs w:val="14"/>
              </w:rPr>
              <w:t>most people</w:t>
            </w:r>
            <w:r w:rsidR="00863F1C" w:rsidRPr="00FB4A23">
              <w:rPr>
                <w:i/>
                <w:iCs/>
                <w:sz w:val="14"/>
                <w:szCs w:val="14"/>
              </w:rPr>
              <w:t xml:space="preserve"> &lt;40yo </w:t>
            </w:r>
            <w:r w:rsidR="003A2A8F">
              <w:rPr>
                <w:i/>
                <w:iCs/>
                <w:sz w:val="14"/>
                <w:szCs w:val="14"/>
              </w:rPr>
              <w:t xml:space="preserve">with rectal bleeding </w:t>
            </w:r>
            <w:r w:rsidR="00CB1B0E">
              <w:rPr>
                <w:i/>
                <w:iCs/>
                <w:sz w:val="14"/>
                <w:szCs w:val="14"/>
              </w:rPr>
              <w:t xml:space="preserve">do not need </w:t>
            </w:r>
            <w:r w:rsidR="003A2A8F">
              <w:rPr>
                <w:i/>
                <w:iCs/>
                <w:sz w:val="14"/>
                <w:szCs w:val="14"/>
              </w:rPr>
              <w:t xml:space="preserve">to be referred under 2ww </w:t>
            </w:r>
            <w:r w:rsidR="005821EF">
              <w:rPr>
                <w:i/>
                <w:iCs/>
                <w:sz w:val="14"/>
                <w:szCs w:val="14"/>
              </w:rPr>
              <w:t xml:space="preserve">as the </w:t>
            </w:r>
            <w:r w:rsidR="005821EF" w:rsidRPr="00FB4A23">
              <w:rPr>
                <w:i/>
                <w:iCs/>
                <w:sz w:val="14"/>
                <w:szCs w:val="14"/>
              </w:rPr>
              <w:t>cancer risk is very low in this age group</w:t>
            </w:r>
            <w:r w:rsidR="005821EF">
              <w:rPr>
                <w:i/>
                <w:iCs/>
                <w:sz w:val="14"/>
                <w:szCs w:val="14"/>
              </w:rPr>
              <w:t xml:space="preserve"> </w:t>
            </w:r>
            <w:r w:rsidR="003A2A8F">
              <w:rPr>
                <w:i/>
                <w:iCs/>
                <w:sz w:val="14"/>
                <w:szCs w:val="14"/>
              </w:rPr>
              <w:t>– please use</w:t>
            </w:r>
            <w:r w:rsidR="00122F09">
              <w:rPr>
                <w:i/>
                <w:iCs/>
                <w:sz w:val="14"/>
                <w:szCs w:val="14"/>
              </w:rPr>
              <w:t xml:space="preserve"> A&amp;G or refer routinely to colorectal/PR bleed</w:t>
            </w:r>
            <w:r w:rsidR="003A2A8F">
              <w:rPr>
                <w:i/>
                <w:iCs/>
                <w:sz w:val="14"/>
                <w:szCs w:val="14"/>
              </w:rPr>
              <w:t xml:space="preserve"> </w:t>
            </w:r>
            <w:r w:rsidR="00122F09">
              <w:rPr>
                <w:i/>
                <w:iCs/>
                <w:sz w:val="14"/>
                <w:szCs w:val="14"/>
              </w:rPr>
              <w:t>clinic; however, i</w:t>
            </w:r>
            <w:r w:rsidRPr="00FB4A23">
              <w:rPr>
                <w:i/>
                <w:iCs/>
                <w:sz w:val="14"/>
                <w:szCs w:val="14"/>
              </w:rPr>
              <w:t xml:space="preserve">f &lt;40yo but </w:t>
            </w:r>
            <w:r w:rsidRPr="00FD0090">
              <w:rPr>
                <w:i/>
                <w:iCs/>
                <w:sz w:val="14"/>
                <w:szCs w:val="14"/>
                <w:u w:val="single"/>
              </w:rPr>
              <w:t>significant</w:t>
            </w:r>
            <w:r w:rsidRPr="00FB4A23">
              <w:rPr>
                <w:i/>
                <w:iCs/>
                <w:sz w:val="14"/>
                <w:szCs w:val="14"/>
              </w:rPr>
              <w:t xml:space="preserve"> concern about bowel cancer</w:t>
            </w:r>
            <w:r w:rsidRPr="00122F09">
              <w:rPr>
                <w:i/>
                <w:iCs/>
                <w:sz w:val="14"/>
                <w:szCs w:val="14"/>
              </w:rPr>
              <w:t>), please use</w:t>
            </w:r>
            <w:r w:rsidR="00122F09" w:rsidRPr="00FD0090">
              <w:rPr>
                <w:i/>
                <w:iCs/>
                <w:sz w:val="14"/>
                <w:szCs w:val="14"/>
              </w:rPr>
              <w:t xml:space="preserve"> this</w:t>
            </w:r>
            <w:r w:rsidR="00A3637C" w:rsidRPr="00122F09">
              <w:rPr>
                <w:i/>
                <w:iCs/>
                <w:sz w:val="14"/>
                <w:szCs w:val="14"/>
              </w:rPr>
              <w:t xml:space="preserve"> path</w:t>
            </w:r>
            <w:r w:rsidR="00863F1C" w:rsidRPr="00122F09">
              <w:rPr>
                <w:i/>
                <w:iCs/>
                <w:sz w:val="14"/>
                <w:szCs w:val="14"/>
              </w:rPr>
              <w:t>way</w:t>
            </w:r>
            <w:r w:rsidR="00664AB2" w:rsidRPr="00664AB2"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746" w:type="dxa"/>
          </w:tcPr>
          <w:p w14:paraId="769FE1FD" w14:textId="3FC43988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PR exam mandatory. </w:t>
            </w:r>
            <w:r w:rsidRPr="00FB4A23">
              <w:rPr>
                <w:b/>
                <w:bCs/>
                <w:sz w:val="14"/>
                <w:szCs w:val="14"/>
              </w:rPr>
              <w:t>Request FIT</w:t>
            </w:r>
            <w:r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rFonts w:eastAsiaTheme="minorEastAsia"/>
                <w:sz w:val="14"/>
                <w:szCs w:val="14"/>
              </w:rPr>
              <w:t>(if possible from sample without visible blood</w:t>
            </w:r>
            <w:r>
              <w:rPr>
                <w:rFonts w:eastAsiaTheme="minorEastAsia"/>
                <w:sz w:val="14"/>
                <w:szCs w:val="14"/>
              </w:rPr>
              <w:t>; note FIT is still discriminatory in rectal bleeding</w:t>
            </w:r>
            <w:r w:rsidRPr="00FB4A23">
              <w:rPr>
                <w:rFonts w:eastAsiaTheme="minorEastAsia"/>
                <w:sz w:val="14"/>
                <w:szCs w:val="14"/>
              </w:rPr>
              <w:t xml:space="preserve">) </w:t>
            </w:r>
            <w:r w:rsidRPr="00FB4A23">
              <w:rPr>
                <w:sz w:val="14"/>
                <w:szCs w:val="14"/>
              </w:rPr>
              <w:t>&amp; await result:</w:t>
            </w:r>
          </w:p>
          <w:p w14:paraId="6CD2C814" w14:textId="62AC8D7F" w:rsidR="007B20C1" w:rsidRPr="00FB4A23" w:rsidRDefault="007B20C1" w:rsidP="007B20C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FIT10+ </w:t>
            </w:r>
            <w:r w:rsidRPr="00FB4A23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b/>
                <w:bCs/>
                <w:sz w:val="14"/>
                <w:szCs w:val="14"/>
              </w:rPr>
              <w:t xml:space="preserve">refer 2ww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[</w:t>
            </w:r>
            <w:r w:rsidR="00CD3A3E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colonoscopy</w:t>
            </w:r>
            <w:r w:rsidR="008029B1" w:rsidRPr="005E47F7">
              <w:rPr>
                <w:color w:val="2E74B5" w:themeColor="accent1" w:themeShade="BF"/>
                <w:sz w:val="14"/>
                <w:szCs w:val="14"/>
              </w:rPr>
              <w:t>/CTC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]</w:t>
            </w:r>
          </w:p>
          <w:p w14:paraId="6D52A0B9" w14:textId="157B76BF" w:rsidR="007B20C1" w:rsidRPr="00FB4A23" w:rsidRDefault="007B20C1" w:rsidP="007B20C1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396C293F">
              <w:rPr>
                <w:sz w:val="14"/>
                <w:szCs w:val="14"/>
              </w:rPr>
              <w:t xml:space="preserve">FIT&lt;10 </w:t>
            </w:r>
            <w:r w:rsidRPr="396C293F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396C293F">
              <w:rPr>
                <w:sz w:val="14"/>
                <w:szCs w:val="14"/>
              </w:rPr>
              <w:t xml:space="preserve"> ongoing concern about bowel cancer?</w:t>
            </w:r>
          </w:p>
          <w:p w14:paraId="15ECC3FC" w14:textId="10BD23AC" w:rsidR="007B20C1" w:rsidRPr="005E47F7" w:rsidRDefault="007B20C1" w:rsidP="007B20C1">
            <w:pPr>
              <w:pStyle w:val="ListParagraph"/>
              <w:numPr>
                <w:ilvl w:val="1"/>
                <w:numId w:val="4"/>
              </w:numPr>
              <w:rPr>
                <w:color w:val="2E74B5" w:themeColor="accent1" w:themeShade="BF"/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Y </w:t>
            </w:r>
            <w:r w:rsidRPr="00FB4A23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b/>
                <w:bCs/>
                <w:sz w:val="14"/>
                <w:szCs w:val="14"/>
              </w:rPr>
              <w:t>refer 2ww</w:t>
            </w:r>
            <w:r w:rsidRPr="00FB4A23">
              <w:rPr>
                <w:sz w:val="14"/>
                <w:szCs w:val="14"/>
              </w:rPr>
              <w:t xml:space="preserve">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[</w:t>
            </w:r>
            <w:r w:rsidR="00CD3A3E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FS]</w:t>
            </w:r>
          </w:p>
          <w:p w14:paraId="372747E1" w14:textId="10A85F1E" w:rsidR="007B20C1" w:rsidRPr="00FB4A23" w:rsidRDefault="007B20C1" w:rsidP="007B20C1">
            <w:pPr>
              <w:pStyle w:val="ListParagraph"/>
              <w:numPr>
                <w:ilvl w:val="1"/>
                <w:numId w:val="4"/>
              </w:num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N </w:t>
            </w:r>
            <w:r w:rsidRPr="00FB4A23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00FB4A23">
              <w:rPr>
                <w:sz w:val="14"/>
                <w:szCs w:val="14"/>
              </w:rPr>
              <w:t xml:space="preserve"> reassure, benign bleeding advice, safety-net. Ongoing troublesome symptoms?</w:t>
            </w:r>
          </w:p>
          <w:p w14:paraId="29380380" w14:textId="19C778BA" w:rsidR="007B20C1" w:rsidRPr="00FB4A23" w:rsidRDefault="007B20C1" w:rsidP="007B20C1">
            <w:pPr>
              <w:pStyle w:val="ListParagraph"/>
              <w:numPr>
                <w:ilvl w:val="2"/>
                <w:numId w:val="4"/>
              </w:numPr>
              <w:rPr>
                <w:rFonts w:eastAsiaTheme="minorEastAsia"/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N </w:t>
            </w:r>
            <w:r w:rsidRPr="00FB4A23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00FB4A23">
              <w:rPr>
                <w:sz w:val="14"/>
                <w:szCs w:val="14"/>
              </w:rPr>
              <w:t xml:space="preserve"> continue conservative</w:t>
            </w:r>
            <w:r w:rsidR="00AF6A0B">
              <w:rPr>
                <w:sz w:val="14"/>
                <w:szCs w:val="14"/>
              </w:rPr>
              <w:t xml:space="preserve"> management</w:t>
            </w:r>
          </w:p>
          <w:p w14:paraId="47F1A31A" w14:textId="0B0F17CA" w:rsidR="007B20C1" w:rsidRPr="00FB4A23" w:rsidRDefault="007B20C1" w:rsidP="007B20C1">
            <w:pPr>
              <w:pStyle w:val="ListParagraph"/>
              <w:numPr>
                <w:ilvl w:val="2"/>
                <w:numId w:val="4"/>
              </w:num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 xml:space="preserve">Y </w:t>
            </w:r>
            <w:r w:rsidRPr="00FB4A23">
              <w:rPr>
                <w:rFonts w:ascii="Wingdings" w:eastAsia="Wingdings" w:hAnsi="Wingdings" w:cs="Wingdings"/>
                <w:sz w:val="14"/>
                <w:szCs w:val="14"/>
              </w:rPr>
              <w:t></w:t>
            </w:r>
            <w:r w:rsidRPr="00FB4A23">
              <w:rPr>
                <w:sz w:val="14"/>
                <w:szCs w:val="14"/>
              </w:rPr>
              <w:t xml:space="preserve"> </w:t>
            </w:r>
            <w:r w:rsidRPr="00FB4A23">
              <w:rPr>
                <w:b/>
                <w:bCs/>
                <w:sz w:val="14"/>
                <w:szCs w:val="14"/>
              </w:rPr>
              <w:t>refer</w:t>
            </w:r>
            <w:r w:rsidRPr="00FB4A23">
              <w:rPr>
                <w:sz w:val="14"/>
                <w:szCs w:val="14"/>
              </w:rPr>
              <w:t xml:space="preserve"> (A</w:t>
            </w:r>
            <w:r w:rsidR="00AF6A0B">
              <w:rPr>
                <w:sz w:val="14"/>
                <w:szCs w:val="14"/>
              </w:rPr>
              <w:t>&amp;</w:t>
            </w:r>
            <w:r w:rsidRPr="00FB4A23">
              <w:rPr>
                <w:sz w:val="14"/>
                <w:szCs w:val="14"/>
              </w:rPr>
              <w:t>G or non-2ww)</w:t>
            </w:r>
          </w:p>
        </w:tc>
      </w:tr>
      <w:tr w:rsidR="00817759" w:rsidRPr="00FB4A23" w14:paraId="4D49CDC1" w14:textId="77777777" w:rsidTr="00A74AD5">
        <w:tc>
          <w:tcPr>
            <w:tcW w:w="0" w:type="auto"/>
            <w:vMerge/>
          </w:tcPr>
          <w:p w14:paraId="2EFDA901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52C02F03" w14:textId="2EA5F03A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  <w:r w:rsidRPr="00FB4A23">
              <w:rPr>
                <w:rFonts w:cstheme="minorHAnsi"/>
                <w:sz w:val="14"/>
                <w:szCs w:val="14"/>
              </w:rPr>
              <w:t>Any</w:t>
            </w:r>
          </w:p>
        </w:tc>
        <w:tc>
          <w:tcPr>
            <w:tcW w:w="7102" w:type="dxa"/>
            <w:shd w:val="clear" w:color="auto" w:fill="auto"/>
          </w:tcPr>
          <w:p w14:paraId="76914D5F" w14:textId="55EE74FC" w:rsidR="007B20C1" w:rsidRPr="007C651D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>DYSPHAGIA</w:t>
            </w:r>
            <w:r w:rsidRPr="00FB4A23">
              <w:rPr>
                <w:sz w:val="14"/>
                <w:szCs w:val="14"/>
              </w:rPr>
              <w:t> (Previously uninvestigated*)</w:t>
            </w:r>
          </w:p>
          <w:p w14:paraId="31D87882" w14:textId="2422ED85" w:rsidR="007B20C1" w:rsidRPr="00FB4A23" w:rsidRDefault="007B20C1" w:rsidP="007B20C1">
            <w:pPr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746" w:type="dxa"/>
          </w:tcPr>
          <w:p w14:paraId="5893D4B6" w14:textId="63A6AC0A" w:rsidR="007B20C1" w:rsidRPr="00FB4A23" w:rsidRDefault="007B20C1" w:rsidP="007B20C1">
            <w:pPr>
              <w:rPr>
                <w:sz w:val="14"/>
                <w:szCs w:val="14"/>
              </w:rPr>
            </w:pPr>
            <w:r w:rsidRPr="396C293F">
              <w:rPr>
                <w:b/>
                <w:bCs/>
                <w:sz w:val="14"/>
                <w:szCs w:val="14"/>
              </w:rPr>
              <w:t>Refer 2ww</w:t>
            </w:r>
            <w:r w:rsidRPr="396C293F">
              <w:rPr>
                <w:sz w:val="14"/>
                <w:szCs w:val="14"/>
              </w:rPr>
              <w:t xml:space="preserve">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[</w:t>
            </w:r>
            <w:r w:rsidR="007B257A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 xml:space="preserve">gastroscopy]; </w:t>
            </w:r>
            <w:r w:rsidR="00DA2D16" w:rsidRPr="005E47F7">
              <w:rPr>
                <w:color w:val="2E74B5" w:themeColor="accent1" w:themeShade="BF"/>
                <w:sz w:val="14"/>
                <w:szCs w:val="14"/>
              </w:rPr>
              <w:t>i</w:t>
            </w:r>
            <w:r w:rsidRPr="005E47F7">
              <w:rPr>
                <w:i/>
                <w:iCs/>
                <w:color w:val="2E74B5" w:themeColor="accent1" w:themeShade="BF"/>
                <w:sz w:val="14"/>
                <w:szCs w:val="14"/>
              </w:rPr>
              <w:t>f gastroscopy negative but symptoms significant, consider barium swallow, and/or ENT/head &amp; neck referral if high (oropharyngeal) dysphagia</w:t>
            </w:r>
          </w:p>
        </w:tc>
      </w:tr>
      <w:tr w:rsidR="00817759" w:rsidRPr="00FB4A23" w14:paraId="5424ED2B" w14:textId="77777777" w:rsidTr="00A74AD5">
        <w:tc>
          <w:tcPr>
            <w:tcW w:w="0" w:type="auto"/>
            <w:vMerge/>
          </w:tcPr>
          <w:p w14:paraId="0D2494BC" w14:textId="77777777" w:rsidR="007B20C1" w:rsidRPr="00FB4A23" w:rsidRDefault="007B20C1" w:rsidP="007B20C1">
            <w:pPr>
              <w:rPr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02954F2E" w14:textId="60F409B0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sz w:val="14"/>
                <w:szCs w:val="14"/>
              </w:rPr>
              <w:t>Any</w:t>
            </w:r>
          </w:p>
        </w:tc>
        <w:tc>
          <w:tcPr>
            <w:tcW w:w="7102" w:type="dxa"/>
            <w:shd w:val="clear" w:color="auto" w:fill="auto"/>
          </w:tcPr>
          <w:p w14:paraId="6822531B" w14:textId="2D7056DD" w:rsidR="007B20C1" w:rsidRPr="00FB4A23" w:rsidRDefault="007B20C1" w:rsidP="007B20C1">
            <w:pPr>
              <w:rPr>
                <w:i/>
                <w:iCs/>
                <w:sz w:val="14"/>
                <w:szCs w:val="14"/>
                <w:vertAlign w:val="superscript"/>
              </w:rPr>
            </w:pPr>
            <w:r w:rsidRPr="00FB4A23">
              <w:rPr>
                <w:b/>
                <w:bCs/>
                <w:color w:val="0070C0"/>
                <w:sz w:val="14"/>
                <w:szCs w:val="14"/>
              </w:rPr>
              <w:t xml:space="preserve">STABLE HAEMATEMESIS </w:t>
            </w:r>
            <w:r w:rsidRPr="00FB4A23">
              <w:rPr>
                <w:sz w:val="14"/>
                <w:szCs w:val="14"/>
              </w:rPr>
              <w:t>(Haematemesis will need A&amp;E assessment if unstable)</w:t>
            </w:r>
          </w:p>
        </w:tc>
        <w:tc>
          <w:tcPr>
            <w:tcW w:w="6746" w:type="dxa"/>
          </w:tcPr>
          <w:p w14:paraId="3ECAB09B" w14:textId="0C22EE94" w:rsidR="007B20C1" w:rsidRPr="00FB4A23" w:rsidRDefault="007B20C1" w:rsidP="007B20C1">
            <w:pPr>
              <w:rPr>
                <w:sz w:val="14"/>
                <w:szCs w:val="14"/>
              </w:rPr>
            </w:pPr>
            <w:r w:rsidRPr="00FB4A23">
              <w:rPr>
                <w:b/>
                <w:bCs/>
                <w:sz w:val="14"/>
                <w:szCs w:val="14"/>
              </w:rPr>
              <w:t>Refer non-2ww</w:t>
            </w:r>
            <w:r w:rsidRPr="00FB4A23">
              <w:rPr>
                <w:sz w:val="14"/>
                <w:szCs w:val="14"/>
              </w:rPr>
              <w:t xml:space="preserve"> [</w:t>
            </w:r>
            <w:r w:rsidR="007B257A" w:rsidRPr="005E47F7">
              <w:rPr>
                <w:rFonts w:eastAsiaTheme="minorEastAsia"/>
                <w:color w:val="2E74B5" w:themeColor="accent1" w:themeShade="BF"/>
                <w:sz w:val="14"/>
                <w:szCs w:val="14"/>
              </w:rPr>
              <w:t xml:space="preserve">Secondary care will organise </w:t>
            </w:r>
            <w:r w:rsidRPr="005E47F7">
              <w:rPr>
                <w:color w:val="2E74B5" w:themeColor="accent1" w:themeShade="BF"/>
                <w:sz w:val="14"/>
                <w:szCs w:val="14"/>
              </w:rPr>
              <w:t>gastroscopy if 40yo or older</w:t>
            </w:r>
            <w:r w:rsidRPr="00FB4A23">
              <w:rPr>
                <w:sz w:val="14"/>
                <w:szCs w:val="14"/>
              </w:rPr>
              <w:t>, otherwise A&amp;G]</w:t>
            </w:r>
          </w:p>
        </w:tc>
      </w:tr>
      <w:tr w:rsidR="00817759" w:rsidRPr="00FB4A23" w14:paraId="443389A0" w14:textId="77777777" w:rsidTr="00A74AD5">
        <w:tc>
          <w:tcPr>
            <w:tcW w:w="0" w:type="auto"/>
            <w:vMerge/>
          </w:tcPr>
          <w:p w14:paraId="0B786A6B" w14:textId="77777777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67" w:type="dxa"/>
            <w:shd w:val="clear" w:color="auto" w:fill="auto"/>
          </w:tcPr>
          <w:p w14:paraId="76D20C46" w14:textId="52D8FE4A" w:rsidR="007B20C1" w:rsidRPr="00FB4A23" w:rsidRDefault="007B20C1" w:rsidP="007B20C1">
            <w:pPr>
              <w:rPr>
                <w:rFonts w:cstheme="minorHAnsi"/>
                <w:sz w:val="14"/>
                <w:szCs w:val="14"/>
              </w:rPr>
            </w:pPr>
            <w:r w:rsidRPr="00FC7C8E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tcW w:w="7102" w:type="dxa"/>
            <w:shd w:val="clear" w:color="auto" w:fill="auto"/>
          </w:tcPr>
          <w:p w14:paraId="732DDECD" w14:textId="4A0F8B7A" w:rsidR="007B20C1" w:rsidRPr="00FB4A23" w:rsidRDefault="00706275" w:rsidP="007B20C1">
            <w:pPr>
              <w:rPr>
                <w:sz w:val="14"/>
                <w:szCs w:val="14"/>
              </w:rPr>
            </w:pPr>
            <w:r w:rsidRPr="00706275">
              <w:rPr>
                <w:b/>
                <w:bCs/>
                <w:color w:val="0070C0"/>
                <w:sz w:val="14"/>
                <w:szCs w:val="14"/>
              </w:rPr>
              <w:t xml:space="preserve">DYSPEPSIA/REFLUX/NAUSEA/VOMITING </w:t>
            </w:r>
            <w:r w:rsidRPr="00706275">
              <w:rPr>
                <w:sz w:val="14"/>
                <w:szCs w:val="14"/>
              </w:rPr>
              <w:t>(Previously uninvestigated*) [investigate significant weight loss as above first]</w:t>
            </w:r>
          </w:p>
        </w:tc>
        <w:tc>
          <w:tcPr>
            <w:tcW w:w="6746" w:type="dxa"/>
          </w:tcPr>
          <w:p w14:paraId="41C9449A" w14:textId="490009A0" w:rsidR="007B20C1" w:rsidRPr="00FB4A23" w:rsidRDefault="00706275" w:rsidP="007B20C1">
            <w:pPr>
              <w:rPr>
                <w:sz w:val="14"/>
                <w:szCs w:val="14"/>
              </w:rPr>
            </w:pPr>
            <w:r w:rsidRPr="00706275">
              <w:rPr>
                <w:bCs/>
                <w:sz w:val="14"/>
                <w:szCs w:val="14"/>
              </w:rPr>
              <w:t>Follow NCA dyspepsia guidelines. Where indicated in that pathway,</w:t>
            </w:r>
            <w:r w:rsidRPr="00706275">
              <w:rPr>
                <w:b/>
                <w:bCs/>
                <w:sz w:val="14"/>
                <w:szCs w:val="14"/>
              </w:rPr>
              <w:t xml:space="preserve"> refer non-2ww</w:t>
            </w:r>
          </w:p>
        </w:tc>
      </w:tr>
    </w:tbl>
    <w:p w14:paraId="129D03C2" w14:textId="77777777" w:rsidR="007C2A30" w:rsidRDefault="007C2A30" w:rsidP="50BDB0FA">
      <w:pPr>
        <w:rPr>
          <w:sz w:val="18"/>
          <w:szCs w:val="18"/>
        </w:rPr>
        <w:sectPr w:rsidR="007C2A30" w:rsidSect="00605E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A81E453" w14:textId="77777777" w:rsidR="006A2EF1" w:rsidRDefault="006A2EF1" w:rsidP="00C77AC6">
      <w:pPr>
        <w:rPr>
          <w:sz w:val="14"/>
          <w:szCs w:val="14"/>
        </w:rPr>
      </w:pPr>
      <w:r>
        <w:rPr>
          <w:sz w:val="14"/>
          <w:szCs w:val="14"/>
        </w:rPr>
        <w:t>2ww: two-week wait</w:t>
      </w:r>
    </w:p>
    <w:p w14:paraId="631F5280" w14:textId="365FF68A" w:rsidR="38A73BE5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 xml:space="preserve">A&amp;G: Advice &amp; Guidance </w:t>
      </w:r>
    </w:p>
    <w:p w14:paraId="3D39DD62" w14:textId="7A2E36BB" w:rsidR="38A73BE5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 xml:space="preserve">CBH: change in bowel habit </w:t>
      </w:r>
    </w:p>
    <w:p w14:paraId="4367FA45" w14:textId="223706E9" w:rsidR="38A73BE5" w:rsidRPr="00FB4A23" w:rsidRDefault="6A893E84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>CT (C)AP: (chest), abdo, pelvis [with contrast]</w:t>
      </w:r>
    </w:p>
    <w:p w14:paraId="03AC89AC" w14:textId="1615CAAA" w:rsidR="50BDB0FA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 xml:space="preserve">IDA: iron deficiency anaemia </w:t>
      </w:r>
    </w:p>
    <w:p w14:paraId="28B2F36C" w14:textId="382D30EB" w:rsidR="50BDB0FA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 xml:space="preserve">NCA: Norther Cancer Alliance </w:t>
      </w:r>
    </w:p>
    <w:p w14:paraId="01DD0790" w14:textId="42C00423" w:rsidR="50BDB0FA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>OPA: out-patient appointment</w:t>
      </w:r>
    </w:p>
    <w:p w14:paraId="543FE2B0" w14:textId="2B563641" w:rsidR="50BDB0FA" w:rsidRPr="00FB4A23" w:rsidRDefault="50BDB0FA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>SNSS: serious non-specific symptoms</w:t>
      </w:r>
    </w:p>
    <w:p w14:paraId="7D8EF64A" w14:textId="46AE0A19" w:rsidR="50BDB0FA" w:rsidRPr="00FB4A23" w:rsidRDefault="6A893E84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>PRB: PR bleeding</w:t>
      </w:r>
    </w:p>
    <w:p w14:paraId="23B674C6" w14:textId="7C22AC4F" w:rsidR="50BDB0FA" w:rsidRPr="00FB4A23" w:rsidRDefault="6A893E84" w:rsidP="00C77AC6">
      <w:pPr>
        <w:rPr>
          <w:sz w:val="14"/>
          <w:szCs w:val="14"/>
        </w:rPr>
      </w:pPr>
      <w:r w:rsidRPr="00FB4A23">
        <w:rPr>
          <w:sz w:val="14"/>
          <w:szCs w:val="14"/>
        </w:rPr>
        <w:t xml:space="preserve">U/L GI: upper/lower gastrointestinal </w:t>
      </w:r>
    </w:p>
    <w:p w14:paraId="72148E92" w14:textId="151B07F3" w:rsidR="007C2A30" w:rsidRPr="00FB4A23" w:rsidRDefault="6A893E84" w:rsidP="00C77AC6">
      <w:pPr>
        <w:rPr>
          <w:sz w:val="14"/>
          <w:szCs w:val="14"/>
        </w:rPr>
        <w:sectPr w:rsidR="007C2A30" w:rsidRPr="00FB4A23" w:rsidSect="007935E2">
          <w:type w:val="continuous"/>
          <w:pgSz w:w="16838" w:h="11906" w:orient="landscape"/>
          <w:pgMar w:top="1440" w:right="1440" w:bottom="1440" w:left="1440" w:header="708" w:footer="708" w:gutter="0"/>
          <w:cols w:num="4" w:space="709"/>
          <w:docGrid w:linePitch="360"/>
        </w:sectPr>
      </w:pPr>
      <w:r w:rsidRPr="00FB4A23">
        <w:rPr>
          <w:sz w:val="14"/>
          <w:szCs w:val="14"/>
        </w:rPr>
        <w:t>US: ultraso</w:t>
      </w:r>
      <w:r w:rsidR="00FB4A23">
        <w:rPr>
          <w:sz w:val="14"/>
          <w:szCs w:val="14"/>
        </w:rPr>
        <w:t>u</w:t>
      </w:r>
      <w:r w:rsidR="00706275">
        <w:rPr>
          <w:sz w:val="14"/>
          <w:szCs w:val="14"/>
        </w:rPr>
        <w:t>nd</w:t>
      </w:r>
    </w:p>
    <w:p w14:paraId="161E8BAC" w14:textId="5403F9DC" w:rsidR="00050BE6" w:rsidRPr="00050BE6" w:rsidRDefault="00050BE6" w:rsidP="00836CFF">
      <w:pPr>
        <w:pStyle w:val="List"/>
        <w:ind w:left="0" w:firstLine="0"/>
      </w:pPr>
    </w:p>
    <w:sectPr w:rsidR="00050BE6" w:rsidRPr="00050BE6" w:rsidSect="00A74AD5">
      <w:type w:val="continuous"/>
      <w:pgSz w:w="16838" w:h="11906" w:orient="landscape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51C86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hybridMultilevel"/>
    <w:tmpl w:val="22D4A2A8"/>
    <w:lvl w:ilvl="0" w:tplc="F68ACE3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88378">
      <w:numFmt w:val="decimal"/>
      <w:lvlText w:val=""/>
      <w:lvlJc w:val="left"/>
    </w:lvl>
    <w:lvl w:ilvl="2" w:tplc="2C5C3A44">
      <w:numFmt w:val="decimal"/>
      <w:lvlText w:val=""/>
      <w:lvlJc w:val="left"/>
    </w:lvl>
    <w:lvl w:ilvl="3" w:tplc="99BAE66A">
      <w:numFmt w:val="decimal"/>
      <w:lvlText w:val=""/>
      <w:lvlJc w:val="left"/>
    </w:lvl>
    <w:lvl w:ilvl="4" w:tplc="13E6C228">
      <w:numFmt w:val="decimal"/>
      <w:lvlText w:val=""/>
      <w:lvlJc w:val="left"/>
    </w:lvl>
    <w:lvl w:ilvl="5" w:tplc="F2FC6094">
      <w:numFmt w:val="decimal"/>
      <w:lvlText w:val=""/>
      <w:lvlJc w:val="left"/>
    </w:lvl>
    <w:lvl w:ilvl="6" w:tplc="65F60DBC">
      <w:numFmt w:val="decimal"/>
      <w:lvlText w:val=""/>
      <w:lvlJc w:val="left"/>
    </w:lvl>
    <w:lvl w:ilvl="7" w:tplc="52B8C1AE">
      <w:numFmt w:val="decimal"/>
      <w:lvlText w:val=""/>
      <w:lvlJc w:val="left"/>
    </w:lvl>
    <w:lvl w:ilvl="8" w:tplc="DC58BFAA">
      <w:numFmt w:val="decimal"/>
      <w:lvlText w:val=""/>
      <w:lvlJc w:val="left"/>
    </w:lvl>
  </w:abstractNum>
  <w:abstractNum w:abstractNumId="2" w15:restartNumberingAfterBreak="0">
    <w:nsid w:val="068255F4"/>
    <w:multiLevelType w:val="hybridMultilevel"/>
    <w:tmpl w:val="83CCCF9A"/>
    <w:lvl w:ilvl="0" w:tplc="0809000F">
      <w:start w:val="1"/>
      <w:numFmt w:val="decimal"/>
      <w:lvlText w:val="%1."/>
      <w:lvlJc w:val="left"/>
      <w:pPr>
        <w:ind w:left="480" w:hanging="360"/>
      </w:pPr>
    </w:lvl>
    <w:lvl w:ilvl="1" w:tplc="08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072B22DB"/>
    <w:multiLevelType w:val="hybridMultilevel"/>
    <w:tmpl w:val="D248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8523E"/>
    <w:multiLevelType w:val="hybridMultilevel"/>
    <w:tmpl w:val="C93E0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16B9"/>
    <w:multiLevelType w:val="hybridMultilevel"/>
    <w:tmpl w:val="BD82A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7593D"/>
    <w:multiLevelType w:val="hybridMultilevel"/>
    <w:tmpl w:val="7EFA9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F7238"/>
    <w:multiLevelType w:val="hybridMultilevel"/>
    <w:tmpl w:val="37CC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80954"/>
    <w:multiLevelType w:val="hybridMultilevel"/>
    <w:tmpl w:val="395CF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4C2AD6"/>
    <w:multiLevelType w:val="hybridMultilevel"/>
    <w:tmpl w:val="8048ADC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44391108"/>
    <w:multiLevelType w:val="multilevel"/>
    <w:tmpl w:val="348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A31EE"/>
    <w:multiLevelType w:val="hybridMultilevel"/>
    <w:tmpl w:val="82A2E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E330A"/>
    <w:multiLevelType w:val="multilevel"/>
    <w:tmpl w:val="9ED6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011104"/>
    <w:multiLevelType w:val="hybridMultilevel"/>
    <w:tmpl w:val="74625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C49E0"/>
    <w:multiLevelType w:val="hybridMultilevel"/>
    <w:tmpl w:val="79182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229DD"/>
    <w:multiLevelType w:val="multilevel"/>
    <w:tmpl w:val="67BE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392369"/>
    <w:multiLevelType w:val="hybridMultilevel"/>
    <w:tmpl w:val="0194C498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9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3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1F"/>
    <w:rsid w:val="000002A5"/>
    <w:rsid w:val="000007A9"/>
    <w:rsid w:val="0000196A"/>
    <w:rsid w:val="0000273E"/>
    <w:rsid w:val="00002B66"/>
    <w:rsid w:val="000043CA"/>
    <w:rsid w:val="00006094"/>
    <w:rsid w:val="00014725"/>
    <w:rsid w:val="0001506B"/>
    <w:rsid w:val="000152A0"/>
    <w:rsid w:val="00015A58"/>
    <w:rsid w:val="000172DC"/>
    <w:rsid w:val="00020284"/>
    <w:rsid w:val="00020290"/>
    <w:rsid w:val="000204D8"/>
    <w:rsid w:val="00022618"/>
    <w:rsid w:val="0002312A"/>
    <w:rsid w:val="00023771"/>
    <w:rsid w:val="00024156"/>
    <w:rsid w:val="00027058"/>
    <w:rsid w:val="0002784F"/>
    <w:rsid w:val="0003160C"/>
    <w:rsid w:val="00031796"/>
    <w:rsid w:val="00033B61"/>
    <w:rsid w:val="0003561B"/>
    <w:rsid w:val="00035E77"/>
    <w:rsid w:val="00036819"/>
    <w:rsid w:val="00037F81"/>
    <w:rsid w:val="000417F2"/>
    <w:rsid w:val="00045180"/>
    <w:rsid w:val="000456A6"/>
    <w:rsid w:val="00050BE6"/>
    <w:rsid w:val="00050F4B"/>
    <w:rsid w:val="00051019"/>
    <w:rsid w:val="00052E2E"/>
    <w:rsid w:val="00054A1D"/>
    <w:rsid w:val="00054FA3"/>
    <w:rsid w:val="000600D8"/>
    <w:rsid w:val="000601E9"/>
    <w:rsid w:val="000623AC"/>
    <w:rsid w:val="00063F9A"/>
    <w:rsid w:val="00064D80"/>
    <w:rsid w:val="00065BDD"/>
    <w:rsid w:val="00066A8B"/>
    <w:rsid w:val="0006752B"/>
    <w:rsid w:val="00067907"/>
    <w:rsid w:val="00071454"/>
    <w:rsid w:val="00072DA7"/>
    <w:rsid w:val="00072DF1"/>
    <w:rsid w:val="000744BB"/>
    <w:rsid w:val="00075465"/>
    <w:rsid w:val="000767F7"/>
    <w:rsid w:val="00077C9D"/>
    <w:rsid w:val="00083020"/>
    <w:rsid w:val="000838D4"/>
    <w:rsid w:val="0008427E"/>
    <w:rsid w:val="000852AC"/>
    <w:rsid w:val="00085760"/>
    <w:rsid w:val="00086B19"/>
    <w:rsid w:val="00086DA1"/>
    <w:rsid w:val="00090F5A"/>
    <w:rsid w:val="00091BC9"/>
    <w:rsid w:val="000933CB"/>
    <w:rsid w:val="00093C80"/>
    <w:rsid w:val="00093D3E"/>
    <w:rsid w:val="00096E9C"/>
    <w:rsid w:val="000A3945"/>
    <w:rsid w:val="000A4C77"/>
    <w:rsid w:val="000A5A35"/>
    <w:rsid w:val="000A746B"/>
    <w:rsid w:val="000B0211"/>
    <w:rsid w:val="000B12E8"/>
    <w:rsid w:val="000B2376"/>
    <w:rsid w:val="000B2729"/>
    <w:rsid w:val="000B3873"/>
    <w:rsid w:val="000B42F3"/>
    <w:rsid w:val="000B53D9"/>
    <w:rsid w:val="000B5DC0"/>
    <w:rsid w:val="000B5EFA"/>
    <w:rsid w:val="000C09B5"/>
    <w:rsid w:val="000C26D1"/>
    <w:rsid w:val="000C31D9"/>
    <w:rsid w:val="000C3D7D"/>
    <w:rsid w:val="000C73CE"/>
    <w:rsid w:val="000D2ADF"/>
    <w:rsid w:val="000D44E5"/>
    <w:rsid w:val="000D4668"/>
    <w:rsid w:val="000D69BE"/>
    <w:rsid w:val="000E2F77"/>
    <w:rsid w:val="000E52D5"/>
    <w:rsid w:val="000E713A"/>
    <w:rsid w:val="000F09DD"/>
    <w:rsid w:val="000F0A04"/>
    <w:rsid w:val="000F1F56"/>
    <w:rsid w:val="000F3CA6"/>
    <w:rsid w:val="000F3D19"/>
    <w:rsid w:val="000F52B3"/>
    <w:rsid w:val="000F748B"/>
    <w:rsid w:val="00100774"/>
    <w:rsid w:val="00101064"/>
    <w:rsid w:val="00103A3C"/>
    <w:rsid w:val="0010535D"/>
    <w:rsid w:val="00105409"/>
    <w:rsid w:val="00105AC0"/>
    <w:rsid w:val="00105C4E"/>
    <w:rsid w:val="00105F8D"/>
    <w:rsid w:val="001063CB"/>
    <w:rsid w:val="001073D9"/>
    <w:rsid w:val="0011085F"/>
    <w:rsid w:val="00112361"/>
    <w:rsid w:val="00112670"/>
    <w:rsid w:val="001157FF"/>
    <w:rsid w:val="001158B0"/>
    <w:rsid w:val="001169EA"/>
    <w:rsid w:val="00117116"/>
    <w:rsid w:val="00120DD2"/>
    <w:rsid w:val="00121D61"/>
    <w:rsid w:val="00122E47"/>
    <w:rsid w:val="00122F09"/>
    <w:rsid w:val="001242E9"/>
    <w:rsid w:val="0012611D"/>
    <w:rsid w:val="00126FD4"/>
    <w:rsid w:val="0013257A"/>
    <w:rsid w:val="0013568E"/>
    <w:rsid w:val="001363C0"/>
    <w:rsid w:val="001411C6"/>
    <w:rsid w:val="00144121"/>
    <w:rsid w:val="00150E6E"/>
    <w:rsid w:val="00151EB3"/>
    <w:rsid w:val="00154B38"/>
    <w:rsid w:val="00155B7B"/>
    <w:rsid w:val="001622DC"/>
    <w:rsid w:val="00162AE4"/>
    <w:rsid w:val="00163A50"/>
    <w:rsid w:val="0016491E"/>
    <w:rsid w:val="00164EDD"/>
    <w:rsid w:val="00165CB1"/>
    <w:rsid w:val="00166EB9"/>
    <w:rsid w:val="001703EA"/>
    <w:rsid w:val="00170413"/>
    <w:rsid w:val="001725DF"/>
    <w:rsid w:val="001764B4"/>
    <w:rsid w:val="001765F6"/>
    <w:rsid w:val="00180ECB"/>
    <w:rsid w:val="001846DA"/>
    <w:rsid w:val="00186B37"/>
    <w:rsid w:val="00187C98"/>
    <w:rsid w:val="00190583"/>
    <w:rsid w:val="00190EEF"/>
    <w:rsid w:val="00190FF0"/>
    <w:rsid w:val="001910D2"/>
    <w:rsid w:val="0019147F"/>
    <w:rsid w:val="00196972"/>
    <w:rsid w:val="00197821"/>
    <w:rsid w:val="00197A1B"/>
    <w:rsid w:val="001A03F7"/>
    <w:rsid w:val="001A3010"/>
    <w:rsid w:val="001A7ADF"/>
    <w:rsid w:val="001B0B9B"/>
    <w:rsid w:val="001B5454"/>
    <w:rsid w:val="001B6C69"/>
    <w:rsid w:val="001B6CE5"/>
    <w:rsid w:val="001B6D5A"/>
    <w:rsid w:val="001B7C95"/>
    <w:rsid w:val="001C0D2B"/>
    <w:rsid w:val="001C1DD8"/>
    <w:rsid w:val="001C269D"/>
    <w:rsid w:val="001C3DE7"/>
    <w:rsid w:val="001C4928"/>
    <w:rsid w:val="001C555A"/>
    <w:rsid w:val="001C57A2"/>
    <w:rsid w:val="001C5864"/>
    <w:rsid w:val="001D0178"/>
    <w:rsid w:val="001D2B2A"/>
    <w:rsid w:val="001D5388"/>
    <w:rsid w:val="001E062A"/>
    <w:rsid w:val="001E0E6A"/>
    <w:rsid w:val="001E28D9"/>
    <w:rsid w:val="001E2F9E"/>
    <w:rsid w:val="001E3709"/>
    <w:rsid w:val="001E3FFE"/>
    <w:rsid w:val="001E43C7"/>
    <w:rsid w:val="001E597B"/>
    <w:rsid w:val="001F0BEC"/>
    <w:rsid w:val="001F123D"/>
    <w:rsid w:val="001F6FE6"/>
    <w:rsid w:val="00201226"/>
    <w:rsid w:val="0020160E"/>
    <w:rsid w:val="002017A6"/>
    <w:rsid w:val="00203A40"/>
    <w:rsid w:val="00204AD6"/>
    <w:rsid w:val="0020637E"/>
    <w:rsid w:val="0021014E"/>
    <w:rsid w:val="00210599"/>
    <w:rsid w:val="00211A71"/>
    <w:rsid w:val="0021601F"/>
    <w:rsid w:val="002160D1"/>
    <w:rsid w:val="00223288"/>
    <w:rsid w:val="00224493"/>
    <w:rsid w:val="0022458D"/>
    <w:rsid w:val="002266B7"/>
    <w:rsid w:val="00231483"/>
    <w:rsid w:val="00236F8E"/>
    <w:rsid w:val="0023702E"/>
    <w:rsid w:val="002409D1"/>
    <w:rsid w:val="00240E72"/>
    <w:rsid w:val="00240F24"/>
    <w:rsid w:val="00243BD0"/>
    <w:rsid w:val="00245F95"/>
    <w:rsid w:val="00251452"/>
    <w:rsid w:val="00253F54"/>
    <w:rsid w:val="00254B23"/>
    <w:rsid w:val="002560C7"/>
    <w:rsid w:val="00256C22"/>
    <w:rsid w:val="00260459"/>
    <w:rsid w:val="002635ED"/>
    <w:rsid w:val="0026440C"/>
    <w:rsid w:val="00270C5A"/>
    <w:rsid w:val="0027267D"/>
    <w:rsid w:val="00273CE1"/>
    <w:rsid w:val="00281298"/>
    <w:rsid w:val="00281AFC"/>
    <w:rsid w:val="002839D2"/>
    <w:rsid w:val="00284698"/>
    <w:rsid w:val="00286427"/>
    <w:rsid w:val="0028693D"/>
    <w:rsid w:val="002877BD"/>
    <w:rsid w:val="0029064C"/>
    <w:rsid w:val="0029122F"/>
    <w:rsid w:val="00292247"/>
    <w:rsid w:val="002942E7"/>
    <w:rsid w:val="002947BF"/>
    <w:rsid w:val="00294D89"/>
    <w:rsid w:val="00295C70"/>
    <w:rsid w:val="002A0275"/>
    <w:rsid w:val="002A1552"/>
    <w:rsid w:val="002A1559"/>
    <w:rsid w:val="002A38DF"/>
    <w:rsid w:val="002A49E9"/>
    <w:rsid w:val="002A5238"/>
    <w:rsid w:val="002A7A11"/>
    <w:rsid w:val="002A7F58"/>
    <w:rsid w:val="002B06AE"/>
    <w:rsid w:val="002B1813"/>
    <w:rsid w:val="002B1EA7"/>
    <w:rsid w:val="002B3329"/>
    <w:rsid w:val="002B73E5"/>
    <w:rsid w:val="002C0644"/>
    <w:rsid w:val="002C2EB3"/>
    <w:rsid w:val="002C32A6"/>
    <w:rsid w:val="002C3935"/>
    <w:rsid w:val="002C421A"/>
    <w:rsid w:val="002C456C"/>
    <w:rsid w:val="002C5545"/>
    <w:rsid w:val="002C651C"/>
    <w:rsid w:val="002C7086"/>
    <w:rsid w:val="002D0B96"/>
    <w:rsid w:val="002D4513"/>
    <w:rsid w:val="002D5DED"/>
    <w:rsid w:val="002D65AB"/>
    <w:rsid w:val="002D6C33"/>
    <w:rsid w:val="002E29F5"/>
    <w:rsid w:val="002E3697"/>
    <w:rsid w:val="002E3733"/>
    <w:rsid w:val="002E47D3"/>
    <w:rsid w:val="002E5A82"/>
    <w:rsid w:val="002E6822"/>
    <w:rsid w:val="002F095B"/>
    <w:rsid w:val="002F11FC"/>
    <w:rsid w:val="002F162B"/>
    <w:rsid w:val="002F37BE"/>
    <w:rsid w:val="002F601D"/>
    <w:rsid w:val="002F7307"/>
    <w:rsid w:val="002F786B"/>
    <w:rsid w:val="00300A65"/>
    <w:rsid w:val="003034B0"/>
    <w:rsid w:val="00303C5A"/>
    <w:rsid w:val="00303CD8"/>
    <w:rsid w:val="003040AA"/>
    <w:rsid w:val="00306123"/>
    <w:rsid w:val="003074CE"/>
    <w:rsid w:val="00307764"/>
    <w:rsid w:val="00307D64"/>
    <w:rsid w:val="0031119A"/>
    <w:rsid w:val="0031234A"/>
    <w:rsid w:val="00314068"/>
    <w:rsid w:val="003172D1"/>
    <w:rsid w:val="003205A8"/>
    <w:rsid w:val="00320BC3"/>
    <w:rsid w:val="00321B8E"/>
    <w:rsid w:val="00325932"/>
    <w:rsid w:val="0032602D"/>
    <w:rsid w:val="00326577"/>
    <w:rsid w:val="003267E3"/>
    <w:rsid w:val="00326CBF"/>
    <w:rsid w:val="003276B5"/>
    <w:rsid w:val="0033416E"/>
    <w:rsid w:val="003347A4"/>
    <w:rsid w:val="003372A4"/>
    <w:rsid w:val="00337E46"/>
    <w:rsid w:val="0034108C"/>
    <w:rsid w:val="00342821"/>
    <w:rsid w:val="003437AF"/>
    <w:rsid w:val="0034383C"/>
    <w:rsid w:val="00344CDA"/>
    <w:rsid w:val="00344DD4"/>
    <w:rsid w:val="0034521D"/>
    <w:rsid w:val="00347EE7"/>
    <w:rsid w:val="00350E23"/>
    <w:rsid w:val="00350F0E"/>
    <w:rsid w:val="00352653"/>
    <w:rsid w:val="0035408A"/>
    <w:rsid w:val="00354B5B"/>
    <w:rsid w:val="00355923"/>
    <w:rsid w:val="00356247"/>
    <w:rsid w:val="0035775A"/>
    <w:rsid w:val="00360114"/>
    <w:rsid w:val="00361140"/>
    <w:rsid w:val="003621B6"/>
    <w:rsid w:val="00362BFA"/>
    <w:rsid w:val="00363393"/>
    <w:rsid w:val="00363D14"/>
    <w:rsid w:val="00363DFB"/>
    <w:rsid w:val="003644EF"/>
    <w:rsid w:val="00365EA3"/>
    <w:rsid w:val="00367307"/>
    <w:rsid w:val="00367888"/>
    <w:rsid w:val="0037260F"/>
    <w:rsid w:val="00372D3A"/>
    <w:rsid w:val="00372ED1"/>
    <w:rsid w:val="00373D3F"/>
    <w:rsid w:val="00374BE7"/>
    <w:rsid w:val="00375B8F"/>
    <w:rsid w:val="0037686D"/>
    <w:rsid w:val="00380631"/>
    <w:rsid w:val="003840C5"/>
    <w:rsid w:val="00385770"/>
    <w:rsid w:val="00385E44"/>
    <w:rsid w:val="0038754B"/>
    <w:rsid w:val="00387BD1"/>
    <w:rsid w:val="003900E3"/>
    <w:rsid w:val="0039012B"/>
    <w:rsid w:val="003908AB"/>
    <w:rsid w:val="00390CAA"/>
    <w:rsid w:val="00394E76"/>
    <w:rsid w:val="0039669A"/>
    <w:rsid w:val="003973E5"/>
    <w:rsid w:val="003A038E"/>
    <w:rsid w:val="003A2A8F"/>
    <w:rsid w:val="003A2B23"/>
    <w:rsid w:val="003A34EF"/>
    <w:rsid w:val="003A4245"/>
    <w:rsid w:val="003A562B"/>
    <w:rsid w:val="003A6F5A"/>
    <w:rsid w:val="003A76F0"/>
    <w:rsid w:val="003A7BDA"/>
    <w:rsid w:val="003B376F"/>
    <w:rsid w:val="003B55E2"/>
    <w:rsid w:val="003B7681"/>
    <w:rsid w:val="003B7C55"/>
    <w:rsid w:val="003C0255"/>
    <w:rsid w:val="003C05BE"/>
    <w:rsid w:val="003C1DB0"/>
    <w:rsid w:val="003C1F28"/>
    <w:rsid w:val="003C2074"/>
    <w:rsid w:val="003C2ED7"/>
    <w:rsid w:val="003C66E1"/>
    <w:rsid w:val="003C7123"/>
    <w:rsid w:val="003D075C"/>
    <w:rsid w:val="003D1999"/>
    <w:rsid w:val="003D1E4F"/>
    <w:rsid w:val="003D3B42"/>
    <w:rsid w:val="003D3F05"/>
    <w:rsid w:val="003D5E5F"/>
    <w:rsid w:val="003D5F24"/>
    <w:rsid w:val="003D707D"/>
    <w:rsid w:val="003D7A25"/>
    <w:rsid w:val="003D7C84"/>
    <w:rsid w:val="003E0A93"/>
    <w:rsid w:val="003E0B9C"/>
    <w:rsid w:val="003E1C39"/>
    <w:rsid w:val="003E1C4B"/>
    <w:rsid w:val="003E283E"/>
    <w:rsid w:val="003E28AD"/>
    <w:rsid w:val="003E2B8D"/>
    <w:rsid w:val="003E39A6"/>
    <w:rsid w:val="003E4093"/>
    <w:rsid w:val="003E568D"/>
    <w:rsid w:val="003E6C81"/>
    <w:rsid w:val="003F0A30"/>
    <w:rsid w:val="003F260E"/>
    <w:rsid w:val="003F2F0D"/>
    <w:rsid w:val="003F3974"/>
    <w:rsid w:val="003F6CB5"/>
    <w:rsid w:val="0040009D"/>
    <w:rsid w:val="0040053B"/>
    <w:rsid w:val="00400EBA"/>
    <w:rsid w:val="004051E5"/>
    <w:rsid w:val="0040583E"/>
    <w:rsid w:val="00406857"/>
    <w:rsid w:val="00410111"/>
    <w:rsid w:val="004114DD"/>
    <w:rsid w:val="00413D03"/>
    <w:rsid w:val="004170C7"/>
    <w:rsid w:val="00420161"/>
    <w:rsid w:val="0042088B"/>
    <w:rsid w:val="0042394B"/>
    <w:rsid w:val="00424780"/>
    <w:rsid w:val="0042523A"/>
    <w:rsid w:val="0042669E"/>
    <w:rsid w:val="00426A92"/>
    <w:rsid w:val="00426D2F"/>
    <w:rsid w:val="00431CB8"/>
    <w:rsid w:val="0043284E"/>
    <w:rsid w:val="004341F4"/>
    <w:rsid w:val="0043591E"/>
    <w:rsid w:val="00436B61"/>
    <w:rsid w:val="004401DA"/>
    <w:rsid w:val="00440660"/>
    <w:rsid w:val="00444DF4"/>
    <w:rsid w:val="00444F0F"/>
    <w:rsid w:val="00446305"/>
    <w:rsid w:val="00447569"/>
    <w:rsid w:val="0044772D"/>
    <w:rsid w:val="00452DF1"/>
    <w:rsid w:val="0045355B"/>
    <w:rsid w:val="004561DB"/>
    <w:rsid w:val="00456767"/>
    <w:rsid w:val="00457C2F"/>
    <w:rsid w:val="004604A2"/>
    <w:rsid w:val="0046136D"/>
    <w:rsid w:val="00461863"/>
    <w:rsid w:val="0046368A"/>
    <w:rsid w:val="00465162"/>
    <w:rsid w:val="004669F8"/>
    <w:rsid w:val="00467218"/>
    <w:rsid w:val="004677DB"/>
    <w:rsid w:val="0047251F"/>
    <w:rsid w:val="00473C69"/>
    <w:rsid w:val="004768D7"/>
    <w:rsid w:val="00480108"/>
    <w:rsid w:val="00481FB7"/>
    <w:rsid w:val="00485D45"/>
    <w:rsid w:val="00486D21"/>
    <w:rsid w:val="004873ED"/>
    <w:rsid w:val="0048756A"/>
    <w:rsid w:val="00490D28"/>
    <w:rsid w:val="00492A24"/>
    <w:rsid w:val="00492E41"/>
    <w:rsid w:val="00493088"/>
    <w:rsid w:val="004944C6"/>
    <w:rsid w:val="004A019D"/>
    <w:rsid w:val="004A1784"/>
    <w:rsid w:val="004A2911"/>
    <w:rsid w:val="004A2C57"/>
    <w:rsid w:val="004A3FB7"/>
    <w:rsid w:val="004A4CD6"/>
    <w:rsid w:val="004A53FD"/>
    <w:rsid w:val="004B05FA"/>
    <w:rsid w:val="004B15EE"/>
    <w:rsid w:val="004B33C5"/>
    <w:rsid w:val="004B3411"/>
    <w:rsid w:val="004B559C"/>
    <w:rsid w:val="004B5B1E"/>
    <w:rsid w:val="004B6B55"/>
    <w:rsid w:val="004B7103"/>
    <w:rsid w:val="004C0F16"/>
    <w:rsid w:val="004C0FD3"/>
    <w:rsid w:val="004C157F"/>
    <w:rsid w:val="004C3117"/>
    <w:rsid w:val="004C36FE"/>
    <w:rsid w:val="004C4AA5"/>
    <w:rsid w:val="004C7579"/>
    <w:rsid w:val="004D1FB6"/>
    <w:rsid w:val="004D2DC5"/>
    <w:rsid w:val="004D30E3"/>
    <w:rsid w:val="004D4F88"/>
    <w:rsid w:val="004D64CB"/>
    <w:rsid w:val="004D711B"/>
    <w:rsid w:val="004E301A"/>
    <w:rsid w:val="004E3801"/>
    <w:rsid w:val="004E3B3C"/>
    <w:rsid w:val="004E5077"/>
    <w:rsid w:val="004E583F"/>
    <w:rsid w:val="004E660D"/>
    <w:rsid w:val="004E6BCB"/>
    <w:rsid w:val="004E79AE"/>
    <w:rsid w:val="004F08E2"/>
    <w:rsid w:val="004F2CC9"/>
    <w:rsid w:val="005004DA"/>
    <w:rsid w:val="00500A72"/>
    <w:rsid w:val="00501364"/>
    <w:rsid w:val="00501C89"/>
    <w:rsid w:val="00511B1E"/>
    <w:rsid w:val="005136C0"/>
    <w:rsid w:val="00517166"/>
    <w:rsid w:val="00517169"/>
    <w:rsid w:val="00517BB2"/>
    <w:rsid w:val="0052011C"/>
    <w:rsid w:val="00522B69"/>
    <w:rsid w:val="005230DA"/>
    <w:rsid w:val="00525139"/>
    <w:rsid w:val="0052595E"/>
    <w:rsid w:val="00526277"/>
    <w:rsid w:val="005328E4"/>
    <w:rsid w:val="00535A39"/>
    <w:rsid w:val="005366B5"/>
    <w:rsid w:val="005376E0"/>
    <w:rsid w:val="005437C5"/>
    <w:rsid w:val="005445B6"/>
    <w:rsid w:val="00545768"/>
    <w:rsid w:val="00545F65"/>
    <w:rsid w:val="005471C0"/>
    <w:rsid w:val="00547CCC"/>
    <w:rsid w:val="00550660"/>
    <w:rsid w:val="0055086B"/>
    <w:rsid w:val="00550F78"/>
    <w:rsid w:val="005510D3"/>
    <w:rsid w:val="005519FD"/>
    <w:rsid w:val="00557F09"/>
    <w:rsid w:val="00564561"/>
    <w:rsid w:val="005651FC"/>
    <w:rsid w:val="00565AAF"/>
    <w:rsid w:val="00573EED"/>
    <w:rsid w:val="00577F24"/>
    <w:rsid w:val="00580175"/>
    <w:rsid w:val="005821EF"/>
    <w:rsid w:val="005830D1"/>
    <w:rsid w:val="00583D6D"/>
    <w:rsid w:val="00585785"/>
    <w:rsid w:val="005860CB"/>
    <w:rsid w:val="00587176"/>
    <w:rsid w:val="00587B32"/>
    <w:rsid w:val="00590CED"/>
    <w:rsid w:val="00591F4C"/>
    <w:rsid w:val="00591F70"/>
    <w:rsid w:val="005922E7"/>
    <w:rsid w:val="00594262"/>
    <w:rsid w:val="005948B9"/>
    <w:rsid w:val="00594CB7"/>
    <w:rsid w:val="00595599"/>
    <w:rsid w:val="00596A51"/>
    <w:rsid w:val="0059769E"/>
    <w:rsid w:val="005A0D7F"/>
    <w:rsid w:val="005A2A0B"/>
    <w:rsid w:val="005A3E0F"/>
    <w:rsid w:val="005A710E"/>
    <w:rsid w:val="005B2E99"/>
    <w:rsid w:val="005B6847"/>
    <w:rsid w:val="005B73DD"/>
    <w:rsid w:val="005C0402"/>
    <w:rsid w:val="005C0B52"/>
    <w:rsid w:val="005C1C5E"/>
    <w:rsid w:val="005C214D"/>
    <w:rsid w:val="005C264F"/>
    <w:rsid w:val="005C28DE"/>
    <w:rsid w:val="005C3E02"/>
    <w:rsid w:val="005D097B"/>
    <w:rsid w:val="005D3B34"/>
    <w:rsid w:val="005D5B07"/>
    <w:rsid w:val="005D7B3C"/>
    <w:rsid w:val="005E098F"/>
    <w:rsid w:val="005E1F72"/>
    <w:rsid w:val="005E2B05"/>
    <w:rsid w:val="005E389F"/>
    <w:rsid w:val="005E3B95"/>
    <w:rsid w:val="005E3E8F"/>
    <w:rsid w:val="005E47F7"/>
    <w:rsid w:val="005E4F42"/>
    <w:rsid w:val="005E55CA"/>
    <w:rsid w:val="005E5E55"/>
    <w:rsid w:val="005F0352"/>
    <w:rsid w:val="005F2359"/>
    <w:rsid w:val="005F2DF4"/>
    <w:rsid w:val="005F7AB9"/>
    <w:rsid w:val="005F7C59"/>
    <w:rsid w:val="0060015D"/>
    <w:rsid w:val="00605E6B"/>
    <w:rsid w:val="00607941"/>
    <w:rsid w:val="00610BF1"/>
    <w:rsid w:val="00612993"/>
    <w:rsid w:val="00613D30"/>
    <w:rsid w:val="00620726"/>
    <w:rsid w:val="00620EA4"/>
    <w:rsid w:val="00623307"/>
    <w:rsid w:val="00623A8C"/>
    <w:rsid w:val="00626369"/>
    <w:rsid w:val="00626C2C"/>
    <w:rsid w:val="006317B2"/>
    <w:rsid w:val="006331F4"/>
    <w:rsid w:val="00633482"/>
    <w:rsid w:val="00633C5E"/>
    <w:rsid w:val="00633C7E"/>
    <w:rsid w:val="006373AF"/>
    <w:rsid w:val="00637AB7"/>
    <w:rsid w:val="0064091C"/>
    <w:rsid w:val="00640FD4"/>
    <w:rsid w:val="00641FD4"/>
    <w:rsid w:val="00642CC7"/>
    <w:rsid w:val="00644170"/>
    <w:rsid w:val="0064609A"/>
    <w:rsid w:val="006509BF"/>
    <w:rsid w:val="00650AC4"/>
    <w:rsid w:val="00652766"/>
    <w:rsid w:val="00653658"/>
    <w:rsid w:val="00653B36"/>
    <w:rsid w:val="00654D8C"/>
    <w:rsid w:val="006571AD"/>
    <w:rsid w:val="00657689"/>
    <w:rsid w:val="0065792B"/>
    <w:rsid w:val="006606D1"/>
    <w:rsid w:val="00660769"/>
    <w:rsid w:val="00661305"/>
    <w:rsid w:val="00662595"/>
    <w:rsid w:val="006626C6"/>
    <w:rsid w:val="0066297E"/>
    <w:rsid w:val="00664AB2"/>
    <w:rsid w:val="00666704"/>
    <w:rsid w:val="006667CA"/>
    <w:rsid w:val="00666A38"/>
    <w:rsid w:val="00666E87"/>
    <w:rsid w:val="00670D10"/>
    <w:rsid w:val="00672201"/>
    <w:rsid w:val="006753C0"/>
    <w:rsid w:val="00676480"/>
    <w:rsid w:val="00676B30"/>
    <w:rsid w:val="00676E23"/>
    <w:rsid w:val="006771AA"/>
    <w:rsid w:val="00677607"/>
    <w:rsid w:val="00680215"/>
    <w:rsid w:val="0068184E"/>
    <w:rsid w:val="00693A72"/>
    <w:rsid w:val="00693CBE"/>
    <w:rsid w:val="00694A5B"/>
    <w:rsid w:val="00695553"/>
    <w:rsid w:val="00695CFD"/>
    <w:rsid w:val="006962D9"/>
    <w:rsid w:val="00697554"/>
    <w:rsid w:val="006A281F"/>
    <w:rsid w:val="006A2EF1"/>
    <w:rsid w:val="006A3349"/>
    <w:rsid w:val="006A3AF3"/>
    <w:rsid w:val="006A5549"/>
    <w:rsid w:val="006A634E"/>
    <w:rsid w:val="006B0FB1"/>
    <w:rsid w:val="006B2171"/>
    <w:rsid w:val="006B384C"/>
    <w:rsid w:val="006B7A7F"/>
    <w:rsid w:val="006C005A"/>
    <w:rsid w:val="006C1CD6"/>
    <w:rsid w:val="006C1FD0"/>
    <w:rsid w:val="006C2C6E"/>
    <w:rsid w:val="006C3417"/>
    <w:rsid w:val="006C60E2"/>
    <w:rsid w:val="006C79F9"/>
    <w:rsid w:val="006D1FCA"/>
    <w:rsid w:val="006D2FD6"/>
    <w:rsid w:val="006D3CA6"/>
    <w:rsid w:val="006D4701"/>
    <w:rsid w:val="006D607B"/>
    <w:rsid w:val="006D76F2"/>
    <w:rsid w:val="006E1048"/>
    <w:rsid w:val="006E34B3"/>
    <w:rsid w:val="006E4832"/>
    <w:rsid w:val="006E4BA2"/>
    <w:rsid w:val="006E5148"/>
    <w:rsid w:val="006E62F9"/>
    <w:rsid w:val="006E7572"/>
    <w:rsid w:val="006F0CB0"/>
    <w:rsid w:val="006F3D2C"/>
    <w:rsid w:val="006F460E"/>
    <w:rsid w:val="006F48BD"/>
    <w:rsid w:val="006F5CBD"/>
    <w:rsid w:val="006F64A1"/>
    <w:rsid w:val="00702474"/>
    <w:rsid w:val="00704C6E"/>
    <w:rsid w:val="0070572A"/>
    <w:rsid w:val="00705A69"/>
    <w:rsid w:val="00705B10"/>
    <w:rsid w:val="00706275"/>
    <w:rsid w:val="00706B0A"/>
    <w:rsid w:val="00710470"/>
    <w:rsid w:val="007107AA"/>
    <w:rsid w:val="00713CF4"/>
    <w:rsid w:val="00714052"/>
    <w:rsid w:val="007213EB"/>
    <w:rsid w:val="007216BD"/>
    <w:rsid w:val="007222B6"/>
    <w:rsid w:val="0072313B"/>
    <w:rsid w:val="007237A7"/>
    <w:rsid w:val="00724382"/>
    <w:rsid w:val="007267AD"/>
    <w:rsid w:val="007273CA"/>
    <w:rsid w:val="007273ED"/>
    <w:rsid w:val="007312D2"/>
    <w:rsid w:val="007323D1"/>
    <w:rsid w:val="00734820"/>
    <w:rsid w:val="007359EC"/>
    <w:rsid w:val="007367EC"/>
    <w:rsid w:val="00737D87"/>
    <w:rsid w:val="00737F8F"/>
    <w:rsid w:val="00742D33"/>
    <w:rsid w:val="007452EC"/>
    <w:rsid w:val="00745366"/>
    <w:rsid w:val="0074661F"/>
    <w:rsid w:val="0075553C"/>
    <w:rsid w:val="00755B3C"/>
    <w:rsid w:val="007562A8"/>
    <w:rsid w:val="007571BC"/>
    <w:rsid w:val="00757B8B"/>
    <w:rsid w:val="00762901"/>
    <w:rsid w:val="00763CDA"/>
    <w:rsid w:val="00764E2F"/>
    <w:rsid w:val="0077020D"/>
    <w:rsid w:val="00771F2B"/>
    <w:rsid w:val="00772C93"/>
    <w:rsid w:val="007735DD"/>
    <w:rsid w:val="007738F8"/>
    <w:rsid w:val="0077519A"/>
    <w:rsid w:val="0077576E"/>
    <w:rsid w:val="00775C9A"/>
    <w:rsid w:val="007764E4"/>
    <w:rsid w:val="007846D7"/>
    <w:rsid w:val="00784A0F"/>
    <w:rsid w:val="00790987"/>
    <w:rsid w:val="007935E2"/>
    <w:rsid w:val="00794CDF"/>
    <w:rsid w:val="00795895"/>
    <w:rsid w:val="007A0614"/>
    <w:rsid w:val="007A31ED"/>
    <w:rsid w:val="007A3B10"/>
    <w:rsid w:val="007A3D48"/>
    <w:rsid w:val="007A3E47"/>
    <w:rsid w:val="007A4247"/>
    <w:rsid w:val="007A7E49"/>
    <w:rsid w:val="007B014E"/>
    <w:rsid w:val="007B072C"/>
    <w:rsid w:val="007B16CE"/>
    <w:rsid w:val="007B20C1"/>
    <w:rsid w:val="007B21CE"/>
    <w:rsid w:val="007B257A"/>
    <w:rsid w:val="007B322C"/>
    <w:rsid w:val="007B4840"/>
    <w:rsid w:val="007B4EF1"/>
    <w:rsid w:val="007B7440"/>
    <w:rsid w:val="007B7AD1"/>
    <w:rsid w:val="007C29B5"/>
    <w:rsid w:val="007C2A30"/>
    <w:rsid w:val="007C2B31"/>
    <w:rsid w:val="007C2D0B"/>
    <w:rsid w:val="007C330E"/>
    <w:rsid w:val="007C3393"/>
    <w:rsid w:val="007C651D"/>
    <w:rsid w:val="007C7B8D"/>
    <w:rsid w:val="007D13BF"/>
    <w:rsid w:val="007D1430"/>
    <w:rsid w:val="007D243C"/>
    <w:rsid w:val="007D3100"/>
    <w:rsid w:val="007D429F"/>
    <w:rsid w:val="007D4647"/>
    <w:rsid w:val="007D4CC6"/>
    <w:rsid w:val="007D5144"/>
    <w:rsid w:val="007D5706"/>
    <w:rsid w:val="007D650B"/>
    <w:rsid w:val="007D655E"/>
    <w:rsid w:val="007D6592"/>
    <w:rsid w:val="007E04AC"/>
    <w:rsid w:val="007E0F65"/>
    <w:rsid w:val="007E1F7A"/>
    <w:rsid w:val="007E3BFA"/>
    <w:rsid w:val="007E4B51"/>
    <w:rsid w:val="007E5F3A"/>
    <w:rsid w:val="007E60B7"/>
    <w:rsid w:val="007E71E0"/>
    <w:rsid w:val="007F0AE0"/>
    <w:rsid w:val="007F13E8"/>
    <w:rsid w:val="007F14F4"/>
    <w:rsid w:val="007F373E"/>
    <w:rsid w:val="007F48FE"/>
    <w:rsid w:val="007F5415"/>
    <w:rsid w:val="007F5744"/>
    <w:rsid w:val="007F61B5"/>
    <w:rsid w:val="007F64FA"/>
    <w:rsid w:val="0080177E"/>
    <w:rsid w:val="00801DD0"/>
    <w:rsid w:val="008029B1"/>
    <w:rsid w:val="00806C38"/>
    <w:rsid w:val="00807A34"/>
    <w:rsid w:val="008104C0"/>
    <w:rsid w:val="00812FFA"/>
    <w:rsid w:val="00815E04"/>
    <w:rsid w:val="00815ECD"/>
    <w:rsid w:val="008164A6"/>
    <w:rsid w:val="00817759"/>
    <w:rsid w:val="008207C1"/>
    <w:rsid w:val="00822FB7"/>
    <w:rsid w:val="0082501D"/>
    <w:rsid w:val="008263B8"/>
    <w:rsid w:val="00827F4F"/>
    <w:rsid w:val="0083235E"/>
    <w:rsid w:val="008346C8"/>
    <w:rsid w:val="008361BC"/>
    <w:rsid w:val="00836CFF"/>
    <w:rsid w:val="0083714B"/>
    <w:rsid w:val="0083731C"/>
    <w:rsid w:val="00840EAB"/>
    <w:rsid w:val="008436C7"/>
    <w:rsid w:val="008437C1"/>
    <w:rsid w:val="00843881"/>
    <w:rsid w:val="008443A0"/>
    <w:rsid w:val="00845023"/>
    <w:rsid w:val="008465BF"/>
    <w:rsid w:val="00847D4F"/>
    <w:rsid w:val="00851973"/>
    <w:rsid w:val="0085198F"/>
    <w:rsid w:val="00852D8A"/>
    <w:rsid w:val="0085375F"/>
    <w:rsid w:val="00853B2A"/>
    <w:rsid w:val="00853FAE"/>
    <w:rsid w:val="00857DB7"/>
    <w:rsid w:val="00862A2C"/>
    <w:rsid w:val="00863446"/>
    <w:rsid w:val="00863CE3"/>
    <w:rsid w:val="00863F1C"/>
    <w:rsid w:val="00864F20"/>
    <w:rsid w:val="00865AC4"/>
    <w:rsid w:val="00867E6E"/>
    <w:rsid w:val="00870BE9"/>
    <w:rsid w:val="008762E3"/>
    <w:rsid w:val="00877CA5"/>
    <w:rsid w:val="00881060"/>
    <w:rsid w:val="0088164F"/>
    <w:rsid w:val="008822E0"/>
    <w:rsid w:val="008828B5"/>
    <w:rsid w:val="00882B48"/>
    <w:rsid w:val="0088305B"/>
    <w:rsid w:val="00884CD2"/>
    <w:rsid w:val="00885D1F"/>
    <w:rsid w:val="00886E21"/>
    <w:rsid w:val="00887242"/>
    <w:rsid w:val="00887A79"/>
    <w:rsid w:val="00890A31"/>
    <w:rsid w:val="008922B3"/>
    <w:rsid w:val="00892893"/>
    <w:rsid w:val="0089392C"/>
    <w:rsid w:val="00894186"/>
    <w:rsid w:val="008952B4"/>
    <w:rsid w:val="008A3A61"/>
    <w:rsid w:val="008A4D89"/>
    <w:rsid w:val="008A7539"/>
    <w:rsid w:val="008A754F"/>
    <w:rsid w:val="008B2248"/>
    <w:rsid w:val="008B2C18"/>
    <w:rsid w:val="008B32F0"/>
    <w:rsid w:val="008B379A"/>
    <w:rsid w:val="008B3E5C"/>
    <w:rsid w:val="008B4102"/>
    <w:rsid w:val="008B5FBE"/>
    <w:rsid w:val="008B60E7"/>
    <w:rsid w:val="008B6D63"/>
    <w:rsid w:val="008B702F"/>
    <w:rsid w:val="008B7113"/>
    <w:rsid w:val="008C2635"/>
    <w:rsid w:val="008C3875"/>
    <w:rsid w:val="008C4373"/>
    <w:rsid w:val="008C4685"/>
    <w:rsid w:val="008D1003"/>
    <w:rsid w:val="008D16DB"/>
    <w:rsid w:val="008D23FB"/>
    <w:rsid w:val="008D245F"/>
    <w:rsid w:val="008D3B4E"/>
    <w:rsid w:val="008D567D"/>
    <w:rsid w:val="008D747E"/>
    <w:rsid w:val="008E135F"/>
    <w:rsid w:val="008E1CB5"/>
    <w:rsid w:val="008E24D0"/>
    <w:rsid w:val="008E46D2"/>
    <w:rsid w:val="008E4A04"/>
    <w:rsid w:val="008E4E0C"/>
    <w:rsid w:val="008E6434"/>
    <w:rsid w:val="008F1AC5"/>
    <w:rsid w:val="008F1BA5"/>
    <w:rsid w:val="008F2358"/>
    <w:rsid w:val="008F2B00"/>
    <w:rsid w:val="008F340B"/>
    <w:rsid w:val="008F3916"/>
    <w:rsid w:val="008F4080"/>
    <w:rsid w:val="008F4479"/>
    <w:rsid w:val="008F5ECB"/>
    <w:rsid w:val="008F60AF"/>
    <w:rsid w:val="008F6891"/>
    <w:rsid w:val="008F72EA"/>
    <w:rsid w:val="00901E52"/>
    <w:rsid w:val="00901FCB"/>
    <w:rsid w:val="009030E5"/>
    <w:rsid w:val="0090405F"/>
    <w:rsid w:val="00904F94"/>
    <w:rsid w:val="00910610"/>
    <w:rsid w:val="00912013"/>
    <w:rsid w:val="009139CF"/>
    <w:rsid w:val="009139E4"/>
    <w:rsid w:val="00914C91"/>
    <w:rsid w:val="0091541C"/>
    <w:rsid w:val="00915611"/>
    <w:rsid w:val="0091795B"/>
    <w:rsid w:val="009219C3"/>
    <w:rsid w:val="0092255C"/>
    <w:rsid w:val="0092277D"/>
    <w:rsid w:val="009255F8"/>
    <w:rsid w:val="009258D9"/>
    <w:rsid w:val="00927B59"/>
    <w:rsid w:val="009311C6"/>
    <w:rsid w:val="009314E2"/>
    <w:rsid w:val="00931AE5"/>
    <w:rsid w:val="00931B32"/>
    <w:rsid w:val="00931DBB"/>
    <w:rsid w:val="00932FA8"/>
    <w:rsid w:val="00933958"/>
    <w:rsid w:val="00934732"/>
    <w:rsid w:val="00934F62"/>
    <w:rsid w:val="00937402"/>
    <w:rsid w:val="00940CC9"/>
    <w:rsid w:val="0094290E"/>
    <w:rsid w:val="00942AE6"/>
    <w:rsid w:val="00942B5A"/>
    <w:rsid w:val="00943DFD"/>
    <w:rsid w:val="009466C9"/>
    <w:rsid w:val="00946D8B"/>
    <w:rsid w:val="00950E40"/>
    <w:rsid w:val="00951A55"/>
    <w:rsid w:val="00955CC6"/>
    <w:rsid w:val="00956A29"/>
    <w:rsid w:val="0096031F"/>
    <w:rsid w:val="0096080C"/>
    <w:rsid w:val="0096198A"/>
    <w:rsid w:val="00963017"/>
    <w:rsid w:val="009637E2"/>
    <w:rsid w:val="00963C03"/>
    <w:rsid w:val="009652EA"/>
    <w:rsid w:val="0096671D"/>
    <w:rsid w:val="00973AFA"/>
    <w:rsid w:val="00973C77"/>
    <w:rsid w:val="00974257"/>
    <w:rsid w:val="009743C3"/>
    <w:rsid w:val="0097464B"/>
    <w:rsid w:val="00975715"/>
    <w:rsid w:val="00975A7F"/>
    <w:rsid w:val="00976B69"/>
    <w:rsid w:val="00980CD0"/>
    <w:rsid w:val="00980FAE"/>
    <w:rsid w:val="00982359"/>
    <w:rsid w:val="00982C33"/>
    <w:rsid w:val="009832B7"/>
    <w:rsid w:val="00983D6D"/>
    <w:rsid w:val="0098530E"/>
    <w:rsid w:val="00985B2B"/>
    <w:rsid w:val="00987FE5"/>
    <w:rsid w:val="00990932"/>
    <w:rsid w:val="00991A25"/>
    <w:rsid w:val="00995060"/>
    <w:rsid w:val="00995DBA"/>
    <w:rsid w:val="00996A6E"/>
    <w:rsid w:val="009975EE"/>
    <w:rsid w:val="00997C28"/>
    <w:rsid w:val="009A1CAC"/>
    <w:rsid w:val="009A1D01"/>
    <w:rsid w:val="009A4EA2"/>
    <w:rsid w:val="009A560A"/>
    <w:rsid w:val="009A696E"/>
    <w:rsid w:val="009B07A5"/>
    <w:rsid w:val="009B1DED"/>
    <w:rsid w:val="009B1E70"/>
    <w:rsid w:val="009B2561"/>
    <w:rsid w:val="009B3BB2"/>
    <w:rsid w:val="009B3F69"/>
    <w:rsid w:val="009B4682"/>
    <w:rsid w:val="009B4FCF"/>
    <w:rsid w:val="009B6804"/>
    <w:rsid w:val="009B76C8"/>
    <w:rsid w:val="009B7D0D"/>
    <w:rsid w:val="009C060B"/>
    <w:rsid w:val="009C2062"/>
    <w:rsid w:val="009C4535"/>
    <w:rsid w:val="009C6E12"/>
    <w:rsid w:val="009D18FB"/>
    <w:rsid w:val="009D7133"/>
    <w:rsid w:val="009D7808"/>
    <w:rsid w:val="009E11FB"/>
    <w:rsid w:val="009F0EA1"/>
    <w:rsid w:val="009F1DC6"/>
    <w:rsid w:val="009F3BD7"/>
    <w:rsid w:val="009F4713"/>
    <w:rsid w:val="009F4AEA"/>
    <w:rsid w:val="009F6E1D"/>
    <w:rsid w:val="009F75BD"/>
    <w:rsid w:val="00A00B2D"/>
    <w:rsid w:val="00A00EC4"/>
    <w:rsid w:val="00A0342B"/>
    <w:rsid w:val="00A03688"/>
    <w:rsid w:val="00A037ED"/>
    <w:rsid w:val="00A0679E"/>
    <w:rsid w:val="00A1072D"/>
    <w:rsid w:val="00A11B15"/>
    <w:rsid w:val="00A12A16"/>
    <w:rsid w:val="00A13E57"/>
    <w:rsid w:val="00A14114"/>
    <w:rsid w:val="00A15961"/>
    <w:rsid w:val="00A16943"/>
    <w:rsid w:val="00A172A1"/>
    <w:rsid w:val="00A229D3"/>
    <w:rsid w:val="00A24506"/>
    <w:rsid w:val="00A24C7F"/>
    <w:rsid w:val="00A274BC"/>
    <w:rsid w:val="00A27A56"/>
    <w:rsid w:val="00A30646"/>
    <w:rsid w:val="00A30A41"/>
    <w:rsid w:val="00A31270"/>
    <w:rsid w:val="00A31E4F"/>
    <w:rsid w:val="00A32AC8"/>
    <w:rsid w:val="00A33AF1"/>
    <w:rsid w:val="00A36177"/>
    <w:rsid w:val="00A3637C"/>
    <w:rsid w:val="00A37A64"/>
    <w:rsid w:val="00A37B16"/>
    <w:rsid w:val="00A41B84"/>
    <w:rsid w:val="00A41FF5"/>
    <w:rsid w:val="00A42564"/>
    <w:rsid w:val="00A42B09"/>
    <w:rsid w:val="00A44A17"/>
    <w:rsid w:val="00A4570D"/>
    <w:rsid w:val="00A4689A"/>
    <w:rsid w:val="00A508AF"/>
    <w:rsid w:val="00A50FCC"/>
    <w:rsid w:val="00A527F1"/>
    <w:rsid w:val="00A53B4F"/>
    <w:rsid w:val="00A5418A"/>
    <w:rsid w:val="00A54487"/>
    <w:rsid w:val="00A54A23"/>
    <w:rsid w:val="00A564BF"/>
    <w:rsid w:val="00A56FC2"/>
    <w:rsid w:val="00A60AD2"/>
    <w:rsid w:val="00A622EE"/>
    <w:rsid w:val="00A63189"/>
    <w:rsid w:val="00A66FD2"/>
    <w:rsid w:val="00A703B6"/>
    <w:rsid w:val="00A71F34"/>
    <w:rsid w:val="00A71FD3"/>
    <w:rsid w:val="00A72659"/>
    <w:rsid w:val="00A72D4F"/>
    <w:rsid w:val="00A74AD5"/>
    <w:rsid w:val="00A75094"/>
    <w:rsid w:val="00A76A4C"/>
    <w:rsid w:val="00A77A3A"/>
    <w:rsid w:val="00A81427"/>
    <w:rsid w:val="00A81471"/>
    <w:rsid w:val="00A84F4E"/>
    <w:rsid w:val="00A8507E"/>
    <w:rsid w:val="00A875DA"/>
    <w:rsid w:val="00A9124D"/>
    <w:rsid w:val="00A91333"/>
    <w:rsid w:val="00A91726"/>
    <w:rsid w:val="00A94A3D"/>
    <w:rsid w:val="00A962EF"/>
    <w:rsid w:val="00A96AAB"/>
    <w:rsid w:val="00AA054E"/>
    <w:rsid w:val="00AA0781"/>
    <w:rsid w:val="00AA3264"/>
    <w:rsid w:val="00AA41AD"/>
    <w:rsid w:val="00AA58DB"/>
    <w:rsid w:val="00AB0A6F"/>
    <w:rsid w:val="00AB0FCB"/>
    <w:rsid w:val="00AB6B7A"/>
    <w:rsid w:val="00AC01E4"/>
    <w:rsid w:val="00AC1EB3"/>
    <w:rsid w:val="00AC2181"/>
    <w:rsid w:val="00AC25F6"/>
    <w:rsid w:val="00AC3AA3"/>
    <w:rsid w:val="00AC3CAA"/>
    <w:rsid w:val="00AC7254"/>
    <w:rsid w:val="00AC77A0"/>
    <w:rsid w:val="00AD0195"/>
    <w:rsid w:val="00AD1637"/>
    <w:rsid w:val="00AD48F8"/>
    <w:rsid w:val="00AE1043"/>
    <w:rsid w:val="00AE1225"/>
    <w:rsid w:val="00AE135F"/>
    <w:rsid w:val="00AE250A"/>
    <w:rsid w:val="00AE3965"/>
    <w:rsid w:val="00AE475C"/>
    <w:rsid w:val="00AE4B20"/>
    <w:rsid w:val="00AF0561"/>
    <w:rsid w:val="00AF12E6"/>
    <w:rsid w:val="00AF2F57"/>
    <w:rsid w:val="00AF3E5C"/>
    <w:rsid w:val="00AF5113"/>
    <w:rsid w:val="00AF564E"/>
    <w:rsid w:val="00AF6A0B"/>
    <w:rsid w:val="00AF6AAB"/>
    <w:rsid w:val="00AF6F92"/>
    <w:rsid w:val="00B00194"/>
    <w:rsid w:val="00B015A0"/>
    <w:rsid w:val="00B017C5"/>
    <w:rsid w:val="00B020D2"/>
    <w:rsid w:val="00B03073"/>
    <w:rsid w:val="00B03201"/>
    <w:rsid w:val="00B04187"/>
    <w:rsid w:val="00B06C5E"/>
    <w:rsid w:val="00B07E59"/>
    <w:rsid w:val="00B10649"/>
    <w:rsid w:val="00B11F32"/>
    <w:rsid w:val="00B13D3F"/>
    <w:rsid w:val="00B13D72"/>
    <w:rsid w:val="00B1413E"/>
    <w:rsid w:val="00B163CB"/>
    <w:rsid w:val="00B21F5D"/>
    <w:rsid w:val="00B23638"/>
    <w:rsid w:val="00B23C2C"/>
    <w:rsid w:val="00B25579"/>
    <w:rsid w:val="00B26218"/>
    <w:rsid w:val="00B267E6"/>
    <w:rsid w:val="00B26859"/>
    <w:rsid w:val="00B26A49"/>
    <w:rsid w:val="00B27093"/>
    <w:rsid w:val="00B27156"/>
    <w:rsid w:val="00B31483"/>
    <w:rsid w:val="00B328EA"/>
    <w:rsid w:val="00B32E1C"/>
    <w:rsid w:val="00B344AD"/>
    <w:rsid w:val="00B352B8"/>
    <w:rsid w:val="00B36CD9"/>
    <w:rsid w:val="00B371D9"/>
    <w:rsid w:val="00B37215"/>
    <w:rsid w:val="00B379A1"/>
    <w:rsid w:val="00B40FC7"/>
    <w:rsid w:val="00B41FEA"/>
    <w:rsid w:val="00B4230D"/>
    <w:rsid w:val="00B42B76"/>
    <w:rsid w:val="00B435BB"/>
    <w:rsid w:val="00B43DF4"/>
    <w:rsid w:val="00B43F63"/>
    <w:rsid w:val="00B45E8E"/>
    <w:rsid w:val="00B472CA"/>
    <w:rsid w:val="00B50AC3"/>
    <w:rsid w:val="00B51DC9"/>
    <w:rsid w:val="00B54365"/>
    <w:rsid w:val="00B57656"/>
    <w:rsid w:val="00B576B3"/>
    <w:rsid w:val="00B57FEA"/>
    <w:rsid w:val="00B61C74"/>
    <w:rsid w:val="00B62EC0"/>
    <w:rsid w:val="00B63C7C"/>
    <w:rsid w:val="00B64CC2"/>
    <w:rsid w:val="00B66E4B"/>
    <w:rsid w:val="00B67782"/>
    <w:rsid w:val="00B679A3"/>
    <w:rsid w:val="00B71F55"/>
    <w:rsid w:val="00B72F01"/>
    <w:rsid w:val="00B74B72"/>
    <w:rsid w:val="00B768AF"/>
    <w:rsid w:val="00B77276"/>
    <w:rsid w:val="00B81AB1"/>
    <w:rsid w:val="00B8528A"/>
    <w:rsid w:val="00B90BB0"/>
    <w:rsid w:val="00B91A38"/>
    <w:rsid w:val="00B9264C"/>
    <w:rsid w:val="00B93350"/>
    <w:rsid w:val="00B93518"/>
    <w:rsid w:val="00B93737"/>
    <w:rsid w:val="00B93D07"/>
    <w:rsid w:val="00B97814"/>
    <w:rsid w:val="00BA028F"/>
    <w:rsid w:val="00BA0659"/>
    <w:rsid w:val="00BA0D62"/>
    <w:rsid w:val="00BA2539"/>
    <w:rsid w:val="00BA4E22"/>
    <w:rsid w:val="00BA56B0"/>
    <w:rsid w:val="00BA6B5C"/>
    <w:rsid w:val="00BA7271"/>
    <w:rsid w:val="00BB1493"/>
    <w:rsid w:val="00BB4717"/>
    <w:rsid w:val="00BB47D3"/>
    <w:rsid w:val="00BB538A"/>
    <w:rsid w:val="00BB6E9F"/>
    <w:rsid w:val="00BC0259"/>
    <w:rsid w:val="00BC038C"/>
    <w:rsid w:val="00BC0D1C"/>
    <w:rsid w:val="00BC2389"/>
    <w:rsid w:val="00BC2EBC"/>
    <w:rsid w:val="00BC4587"/>
    <w:rsid w:val="00BC4C5C"/>
    <w:rsid w:val="00BC53CC"/>
    <w:rsid w:val="00BC5AD3"/>
    <w:rsid w:val="00BC6A8E"/>
    <w:rsid w:val="00BD0784"/>
    <w:rsid w:val="00BD0ADB"/>
    <w:rsid w:val="00BD1059"/>
    <w:rsid w:val="00BD135F"/>
    <w:rsid w:val="00BD1AE1"/>
    <w:rsid w:val="00BD5094"/>
    <w:rsid w:val="00BD5776"/>
    <w:rsid w:val="00BD588F"/>
    <w:rsid w:val="00BD67BB"/>
    <w:rsid w:val="00BD69D1"/>
    <w:rsid w:val="00BD6F85"/>
    <w:rsid w:val="00BD730C"/>
    <w:rsid w:val="00BE0B59"/>
    <w:rsid w:val="00BE0BE0"/>
    <w:rsid w:val="00BE0D11"/>
    <w:rsid w:val="00BE1983"/>
    <w:rsid w:val="00BE1E60"/>
    <w:rsid w:val="00BE4472"/>
    <w:rsid w:val="00BE5DFD"/>
    <w:rsid w:val="00BE6614"/>
    <w:rsid w:val="00BE7CBE"/>
    <w:rsid w:val="00BF0421"/>
    <w:rsid w:val="00BF0663"/>
    <w:rsid w:val="00BF0F0C"/>
    <w:rsid w:val="00BF219F"/>
    <w:rsid w:val="00BF2679"/>
    <w:rsid w:val="00BF5486"/>
    <w:rsid w:val="00C0061B"/>
    <w:rsid w:val="00C01259"/>
    <w:rsid w:val="00C027AC"/>
    <w:rsid w:val="00C03477"/>
    <w:rsid w:val="00C05B4F"/>
    <w:rsid w:val="00C109F9"/>
    <w:rsid w:val="00C10C22"/>
    <w:rsid w:val="00C1364A"/>
    <w:rsid w:val="00C13D5D"/>
    <w:rsid w:val="00C145ED"/>
    <w:rsid w:val="00C224FC"/>
    <w:rsid w:val="00C24F32"/>
    <w:rsid w:val="00C33954"/>
    <w:rsid w:val="00C339C2"/>
    <w:rsid w:val="00C40CEC"/>
    <w:rsid w:val="00C45350"/>
    <w:rsid w:val="00C4560B"/>
    <w:rsid w:val="00C4766D"/>
    <w:rsid w:val="00C51524"/>
    <w:rsid w:val="00C5290E"/>
    <w:rsid w:val="00C52A1F"/>
    <w:rsid w:val="00C555E5"/>
    <w:rsid w:val="00C60A37"/>
    <w:rsid w:val="00C60A92"/>
    <w:rsid w:val="00C63057"/>
    <w:rsid w:val="00C64A6C"/>
    <w:rsid w:val="00C64ED7"/>
    <w:rsid w:val="00C660D4"/>
    <w:rsid w:val="00C66F03"/>
    <w:rsid w:val="00C700CE"/>
    <w:rsid w:val="00C711D7"/>
    <w:rsid w:val="00C72101"/>
    <w:rsid w:val="00C72BB9"/>
    <w:rsid w:val="00C72F8B"/>
    <w:rsid w:val="00C734C8"/>
    <w:rsid w:val="00C7600C"/>
    <w:rsid w:val="00C7615F"/>
    <w:rsid w:val="00C76B37"/>
    <w:rsid w:val="00C76CCB"/>
    <w:rsid w:val="00C77489"/>
    <w:rsid w:val="00C77541"/>
    <w:rsid w:val="00C7787A"/>
    <w:rsid w:val="00C77AC6"/>
    <w:rsid w:val="00C80EB8"/>
    <w:rsid w:val="00C82653"/>
    <w:rsid w:val="00C83200"/>
    <w:rsid w:val="00C85217"/>
    <w:rsid w:val="00C858DB"/>
    <w:rsid w:val="00C86AC3"/>
    <w:rsid w:val="00C87203"/>
    <w:rsid w:val="00C87854"/>
    <w:rsid w:val="00C91A2A"/>
    <w:rsid w:val="00C91CC1"/>
    <w:rsid w:val="00C94970"/>
    <w:rsid w:val="00C94EA9"/>
    <w:rsid w:val="00C978CF"/>
    <w:rsid w:val="00C97D8D"/>
    <w:rsid w:val="00C97E20"/>
    <w:rsid w:val="00CA1A87"/>
    <w:rsid w:val="00CA1DA0"/>
    <w:rsid w:val="00CA5524"/>
    <w:rsid w:val="00CA59E5"/>
    <w:rsid w:val="00CB0694"/>
    <w:rsid w:val="00CB1B0E"/>
    <w:rsid w:val="00CB1E36"/>
    <w:rsid w:val="00CB1F87"/>
    <w:rsid w:val="00CB3420"/>
    <w:rsid w:val="00CB4CE4"/>
    <w:rsid w:val="00CB4D5A"/>
    <w:rsid w:val="00CB64A3"/>
    <w:rsid w:val="00CC048B"/>
    <w:rsid w:val="00CC2E79"/>
    <w:rsid w:val="00CC4557"/>
    <w:rsid w:val="00CC5413"/>
    <w:rsid w:val="00CC5E92"/>
    <w:rsid w:val="00CC64B1"/>
    <w:rsid w:val="00CD1155"/>
    <w:rsid w:val="00CD257C"/>
    <w:rsid w:val="00CD3A3E"/>
    <w:rsid w:val="00CD65AA"/>
    <w:rsid w:val="00CD7135"/>
    <w:rsid w:val="00CE1C24"/>
    <w:rsid w:val="00CE3F3E"/>
    <w:rsid w:val="00CE46D6"/>
    <w:rsid w:val="00CE5D81"/>
    <w:rsid w:val="00CE7F4C"/>
    <w:rsid w:val="00CF080C"/>
    <w:rsid w:val="00CF0AFE"/>
    <w:rsid w:val="00CF0F5F"/>
    <w:rsid w:val="00CF12E3"/>
    <w:rsid w:val="00CF1896"/>
    <w:rsid w:val="00CF199E"/>
    <w:rsid w:val="00CF1E3C"/>
    <w:rsid w:val="00CF5877"/>
    <w:rsid w:val="00CF6569"/>
    <w:rsid w:val="00CF7461"/>
    <w:rsid w:val="00D00331"/>
    <w:rsid w:val="00D00E34"/>
    <w:rsid w:val="00D01E33"/>
    <w:rsid w:val="00D04500"/>
    <w:rsid w:val="00D05294"/>
    <w:rsid w:val="00D05E27"/>
    <w:rsid w:val="00D06AEF"/>
    <w:rsid w:val="00D11ECF"/>
    <w:rsid w:val="00D14514"/>
    <w:rsid w:val="00D147A8"/>
    <w:rsid w:val="00D1574F"/>
    <w:rsid w:val="00D1619E"/>
    <w:rsid w:val="00D1646B"/>
    <w:rsid w:val="00D16A3C"/>
    <w:rsid w:val="00D204AA"/>
    <w:rsid w:val="00D207E1"/>
    <w:rsid w:val="00D21D36"/>
    <w:rsid w:val="00D22576"/>
    <w:rsid w:val="00D231AE"/>
    <w:rsid w:val="00D2485A"/>
    <w:rsid w:val="00D25C96"/>
    <w:rsid w:val="00D2689E"/>
    <w:rsid w:val="00D273CA"/>
    <w:rsid w:val="00D2788A"/>
    <w:rsid w:val="00D308D6"/>
    <w:rsid w:val="00D3234E"/>
    <w:rsid w:val="00D40FDE"/>
    <w:rsid w:val="00D41A3C"/>
    <w:rsid w:val="00D41A6F"/>
    <w:rsid w:val="00D43834"/>
    <w:rsid w:val="00D43A1A"/>
    <w:rsid w:val="00D457C2"/>
    <w:rsid w:val="00D464E4"/>
    <w:rsid w:val="00D50B84"/>
    <w:rsid w:val="00D5217D"/>
    <w:rsid w:val="00D529EF"/>
    <w:rsid w:val="00D5586B"/>
    <w:rsid w:val="00D564BA"/>
    <w:rsid w:val="00D61699"/>
    <w:rsid w:val="00D61A04"/>
    <w:rsid w:val="00D61C12"/>
    <w:rsid w:val="00D62324"/>
    <w:rsid w:val="00D62446"/>
    <w:rsid w:val="00D62AD0"/>
    <w:rsid w:val="00D63290"/>
    <w:rsid w:val="00D64C52"/>
    <w:rsid w:val="00D65A91"/>
    <w:rsid w:val="00D65CD9"/>
    <w:rsid w:val="00D668CA"/>
    <w:rsid w:val="00D675F0"/>
    <w:rsid w:val="00D70EAC"/>
    <w:rsid w:val="00D72DD0"/>
    <w:rsid w:val="00D72E3C"/>
    <w:rsid w:val="00D733FF"/>
    <w:rsid w:val="00D753E0"/>
    <w:rsid w:val="00D75D27"/>
    <w:rsid w:val="00D761DF"/>
    <w:rsid w:val="00D8556D"/>
    <w:rsid w:val="00D87241"/>
    <w:rsid w:val="00D8797C"/>
    <w:rsid w:val="00D90613"/>
    <w:rsid w:val="00D91174"/>
    <w:rsid w:val="00D93E22"/>
    <w:rsid w:val="00D940F8"/>
    <w:rsid w:val="00D95678"/>
    <w:rsid w:val="00D962A0"/>
    <w:rsid w:val="00DA1418"/>
    <w:rsid w:val="00DA2D16"/>
    <w:rsid w:val="00DA3279"/>
    <w:rsid w:val="00DA5A98"/>
    <w:rsid w:val="00DA5CFA"/>
    <w:rsid w:val="00DB01FE"/>
    <w:rsid w:val="00DB07FF"/>
    <w:rsid w:val="00DB26D7"/>
    <w:rsid w:val="00DB338F"/>
    <w:rsid w:val="00DC0040"/>
    <w:rsid w:val="00DC345B"/>
    <w:rsid w:val="00DC6897"/>
    <w:rsid w:val="00DC78E3"/>
    <w:rsid w:val="00DC7E3F"/>
    <w:rsid w:val="00DD01C6"/>
    <w:rsid w:val="00DD197F"/>
    <w:rsid w:val="00DD27CB"/>
    <w:rsid w:val="00DD480F"/>
    <w:rsid w:val="00DE08E9"/>
    <w:rsid w:val="00DE19E0"/>
    <w:rsid w:val="00DE2F23"/>
    <w:rsid w:val="00DF0FAB"/>
    <w:rsid w:val="00DF130C"/>
    <w:rsid w:val="00DF1454"/>
    <w:rsid w:val="00DF2314"/>
    <w:rsid w:val="00DF4294"/>
    <w:rsid w:val="00DF5B33"/>
    <w:rsid w:val="00DF6095"/>
    <w:rsid w:val="00DF64EE"/>
    <w:rsid w:val="00DF7686"/>
    <w:rsid w:val="00DF76BA"/>
    <w:rsid w:val="00E011EF"/>
    <w:rsid w:val="00E01516"/>
    <w:rsid w:val="00E01EB5"/>
    <w:rsid w:val="00E03A37"/>
    <w:rsid w:val="00E0415C"/>
    <w:rsid w:val="00E04A35"/>
    <w:rsid w:val="00E04BC7"/>
    <w:rsid w:val="00E05440"/>
    <w:rsid w:val="00E07CCC"/>
    <w:rsid w:val="00E1325E"/>
    <w:rsid w:val="00E138C9"/>
    <w:rsid w:val="00E142F5"/>
    <w:rsid w:val="00E157C9"/>
    <w:rsid w:val="00E15B9C"/>
    <w:rsid w:val="00E1645B"/>
    <w:rsid w:val="00E20220"/>
    <w:rsid w:val="00E2024E"/>
    <w:rsid w:val="00E2125B"/>
    <w:rsid w:val="00E21A3C"/>
    <w:rsid w:val="00E22602"/>
    <w:rsid w:val="00E22A48"/>
    <w:rsid w:val="00E23455"/>
    <w:rsid w:val="00E245C3"/>
    <w:rsid w:val="00E249E3"/>
    <w:rsid w:val="00E30866"/>
    <w:rsid w:val="00E31B96"/>
    <w:rsid w:val="00E33746"/>
    <w:rsid w:val="00E35B44"/>
    <w:rsid w:val="00E36E52"/>
    <w:rsid w:val="00E3769C"/>
    <w:rsid w:val="00E41F0E"/>
    <w:rsid w:val="00E42114"/>
    <w:rsid w:val="00E42959"/>
    <w:rsid w:val="00E448B3"/>
    <w:rsid w:val="00E45F22"/>
    <w:rsid w:val="00E465DA"/>
    <w:rsid w:val="00E5050F"/>
    <w:rsid w:val="00E51C5B"/>
    <w:rsid w:val="00E5379D"/>
    <w:rsid w:val="00E54F17"/>
    <w:rsid w:val="00E55CFD"/>
    <w:rsid w:val="00E56A7F"/>
    <w:rsid w:val="00E6001D"/>
    <w:rsid w:val="00E63A81"/>
    <w:rsid w:val="00E66E72"/>
    <w:rsid w:val="00E676E1"/>
    <w:rsid w:val="00E67779"/>
    <w:rsid w:val="00E73380"/>
    <w:rsid w:val="00E735BA"/>
    <w:rsid w:val="00E74003"/>
    <w:rsid w:val="00E7596F"/>
    <w:rsid w:val="00E76102"/>
    <w:rsid w:val="00E81844"/>
    <w:rsid w:val="00E82616"/>
    <w:rsid w:val="00E8282E"/>
    <w:rsid w:val="00E83958"/>
    <w:rsid w:val="00E83D28"/>
    <w:rsid w:val="00E84214"/>
    <w:rsid w:val="00E851D5"/>
    <w:rsid w:val="00E85349"/>
    <w:rsid w:val="00E85B46"/>
    <w:rsid w:val="00E90086"/>
    <w:rsid w:val="00E921EB"/>
    <w:rsid w:val="00E92373"/>
    <w:rsid w:val="00E97321"/>
    <w:rsid w:val="00EA0928"/>
    <w:rsid w:val="00EA2ACF"/>
    <w:rsid w:val="00EA3D9F"/>
    <w:rsid w:val="00EA430C"/>
    <w:rsid w:val="00EA50DF"/>
    <w:rsid w:val="00EA54B6"/>
    <w:rsid w:val="00EA5A26"/>
    <w:rsid w:val="00EA5FAB"/>
    <w:rsid w:val="00EA5FC6"/>
    <w:rsid w:val="00EA7619"/>
    <w:rsid w:val="00EB0467"/>
    <w:rsid w:val="00EB08AA"/>
    <w:rsid w:val="00EB1D0C"/>
    <w:rsid w:val="00EB1F30"/>
    <w:rsid w:val="00EB6F51"/>
    <w:rsid w:val="00EB7232"/>
    <w:rsid w:val="00EC22A5"/>
    <w:rsid w:val="00ED03DC"/>
    <w:rsid w:val="00ED0417"/>
    <w:rsid w:val="00ED15D9"/>
    <w:rsid w:val="00ED3480"/>
    <w:rsid w:val="00ED6707"/>
    <w:rsid w:val="00ED681E"/>
    <w:rsid w:val="00ED68CC"/>
    <w:rsid w:val="00ED6BE8"/>
    <w:rsid w:val="00ED7C75"/>
    <w:rsid w:val="00EE152E"/>
    <w:rsid w:val="00EE1C05"/>
    <w:rsid w:val="00EE1DB2"/>
    <w:rsid w:val="00EE28FC"/>
    <w:rsid w:val="00EE3355"/>
    <w:rsid w:val="00EE3E5F"/>
    <w:rsid w:val="00EE6171"/>
    <w:rsid w:val="00EE6A21"/>
    <w:rsid w:val="00EE6ECF"/>
    <w:rsid w:val="00EF3814"/>
    <w:rsid w:val="00EF6299"/>
    <w:rsid w:val="00EF654A"/>
    <w:rsid w:val="00F00C97"/>
    <w:rsid w:val="00F011C6"/>
    <w:rsid w:val="00F0239A"/>
    <w:rsid w:val="00F04188"/>
    <w:rsid w:val="00F05833"/>
    <w:rsid w:val="00F07A62"/>
    <w:rsid w:val="00F146D4"/>
    <w:rsid w:val="00F15029"/>
    <w:rsid w:val="00F15677"/>
    <w:rsid w:val="00F168CC"/>
    <w:rsid w:val="00F173D5"/>
    <w:rsid w:val="00F17C02"/>
    <w:rsid w:val="00F205E1"/>
    <w:rsid w:val="00F2074E"/>
    <w:rsid w:val="00F214EC"/>
    <w:rsid w:val="00F228F8"/>
    <w:rsid w:val="00F23750"/>
    <w:rsid w:val="00F24E2B"/>
    <w:rsid w:val="00F275A0"/>
    <w:rsid w:val="00F30977"/>
    <w:rsid w:val="00F3416D"/>
    <w:rsid w:val="00F343BF"/>
    <w:rsid w:val="00F36127"/>
    <w:rsid w:val="00F37E85"/>
    <w:rsid w:val="00F40464"/>
    <w:rsid w:val="00F43BC6"/>
    <w:rsid w:val="00F4402D"/>
    <w:rsid w:val="00F44A1D"/>
    <w:rsid w:val="00F45484"/>
    <w:rsid w:val="00F45C7E"/>
    <w:rsid w:val="00F4666E"/>
    <w:rsid w:val="00F50AFB"/>
    <w:rsid w:val="00F5262E"/>
    <w:rsid w:val="00F56B8A"/>
    <w:rsid w:val="00F572EC"/>
    <w:rsid w:val="00F60C39"/>
    <w:rsid w:val="00F616F8"/>
    <w:rsid w:val="00F62209"/>
    <w:rsid w:val="00F623F2"/>
    <w:rsid w:val="00F62BBB"/>
    <w:rsid w:val="00F639E7"/>
    <w:rsid w:val="00F63EBB"/>
    <w:rsid w:val="00F65024"/>
    <w:rsid w:val="00F65F36"/>
    <w:rsid w:val="00F66613"/>
    <w:rsid w:val="00F66A88"/>
    <w:rsid w:val="00F66D4B"/>
    <w:rsid w:val="00F670E9"/>
    <w:rsid w:val="00F7286A"/>
    <w:rsid w:val="00F72EE8"/>
    <w:rsid w:val="00F749FC"/>
    <w:rsid w:val="00F76FFD"/>
    <w:rsid w:val="00F773A4"/>
    <w:rsid w:val="00F80445"/>
    <w:rsid w:val="00F8490F"/>
    <w:rsid w:val="00F877F2"/>
    <w:rsid w:val="00F90A38"/>
    <w:rsid w:val="00F90CEE"/>
    <w:rsid w:val="00F90D35"/>
    <w:rsid w:val="00F9319D"/>
    <w:rsid w:val="00F9515E"/>
    <w:rsid w:val="00F95275"/>
    <w:rsid w:val="00F95D43"/>
    <w:rsid w:val="00F96848"/>
    <w:rsid w:val="00F96934"/>
    <w:rsid w:val="00FA02CF"/>
    <w:rsid w:val="00FA0319"/>
    <w:rsid w:val="00FA0C73"/>
    <w:rsid w:val="00FA1380"/>
    <w:rsid w:val="00FA3590"/>
    <w:rsid w:val="00FA4725"/>
    <w:rsid w:val="00FA4E4F"/>
    <w:rsid w:val="00FB05FB"/>
    <w:rsid w:val="00FB0A96"/>
    <w:rsid w:val="00FB0B1C"/>
    <w:rsid w:val="00FB361A"/>
    <w:rsid w:val="00FB4A23"/>
    <w:rsid w:val="00FB5C2D"/>
    <w:rsid w:val="00FB5C92"/>
    <w:rsid w:val="00FB69A0"/>
    <w:rsid w:val="00FB715E"/>
    <w:rsid w:val="00FC0B1A"/>
    <w:rsid w:val="00FC0C3E"/>
    <w:rsid w:val="00FC1B1A"/>
    <w:rsid w:val="00FC3F1E"/>
    <w:rsid w:val="00FC51E2"/>
    <w:rsid w:val="00FC55F6"/>
    <w:rsid w:val="00FC5FA0"/>
    <w:rsid w:val="00FC7A9F"/>
    <w:rsid w:val="00FC7C8E"/>
    <w:rsid w:val="00FD0090"/>
    <w:rsid w:val="00FD40E4"/>
    <w:rsid w:val="00FE161D"/>
    <w:rsid w:val="00FE1735"/>
    <w:rsid w:val="00FE4B0B"/>
    <w:rsid w:val="00FE4E71"/>
    <w:rsid w:val="00FE6F8A"/>
    <w:rsid w:val="00FE7BDC"/>
    <w:rsid w:val="00FF20BD"/>
    <w:rsid w:val="00FF249E"/>
    <w:rsid w:val="0564A018"/>
    <w:rsid w:val="058145D0"/>
    <w:rsid w:val="0A5D58C7"/>
    <w:rsid w:val="0AAC0AF9"/>
    <w:rsid w:val="132A4F21"/>
    <w:rsid w:val="1DCBAE07"/>
    <w:rsid w:val="1F875A1F"/>
    <w:rsid w:val="25E23677"/>
    <w:rsid w:val="27278EE3"/>
    <w:rsid w:val="287BF248"/>
    <w:rsid w:val="2D96FBC5"/>
    <w:rsid w:val="38A73BE5"/>
    <w:rsid w:val="38F5D3B9"/>
    <w:rsid w:val="396C293F"/>
    <w:rsid w:val="424C4373"/>
    <w:rsid w:val="4ABB77BF"/>
    <w:rsid w:val="4EA4B1A4"/>
    <w:rsid w:val="50BDB0FA"/>
    <w:rsid w:val="56A42859"/>
    <w:rsid w:val="571E43CC"/>
    <w:rsid w:val="58A79504"/>
    <w:rsid w:val="58B9C11C"/>
    <w:rsid w:val="5D74B4E7"/>
    <w:rsid w:val="64D6001B"/>
    <w:rsid w:val="6536BB5E"/>
    <w:rsid w:val="6A58AAD8"/>
    <w:rsid w:val="6A893E84"/>
    <w:rsid w:val="75A1573E"/>
    <w:rsid w:val="7F1AD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6182"/>
  <w15:chartTrackingRefBased/>
  <w15:docId w15:val="{734BFF01-5B95-494E-9F1D-8E99A3CB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F3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5D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85D1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0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D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85D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5D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885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885D1F"/>
  </w:style>
  <w:style w:type="character" w:styleId="Hyperlink">
    <w:name w:val="Hyperlink"/>
    <w:basedOn w:val="DefaultParagraphFont"/>
    <w:uiPriority w:val="99"/>
    <w:unhideWhenUsed/>
    <w:rsid w:val="00885D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5D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5D1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85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52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9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9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9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9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9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unhideWhenUsed/>
    <w:rsid w:val="00BF5486"/>
    <w:pPr>
      <w:ind w:left="283" w:hanging="283"/>
    </w:pPr>
  </w:style>
  <w:style w:type="paragraph" w:styleId="BodyText">
    <w:name w:val="Body Text"/>
    <w:basedOn w:val="Normal"/>
    <w:link w:val="BodyTextChar"/>
    <w:uiPriority w:val="99"/>
    <w:semiHidden/>
    <w:unhideWhenUsed/>
    <w:rsid w:val="00BF54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486"/>
  </w:style>
  <w:style w:type="paragraph" w:styleId="ListBullet">
    <w:name w:val="List Bullet"/>
    <w:basedOn w:val="Normal"/>
    <w:uiPriority w:val="99"/>
    <w:unhideWhenUsed/>
    <w:rsid w:val="00990932"/>
    <w:pPr>
      <w:numPr>
        <w:numId w:val="1"/>
      </w:numPr>
    </w:pPr>
  </w:style>
  <w:style w:type="paragraph" w:styleId="List2">
    <w:name w:val="List 2"/>
    <w:basedOn w:val="Normal"/>
    <w:uiPriority w:val="99"/>
    <w:semiHidden/>
    <w:unhideWhenUsed/>
    <w:rsid w:val="009909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90932"/>
    <w:pPr>
      <w:ind w:left="849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0932"/>
    <w:pPr>
      <w:numPr>
        <w:numId w:val="2"/>
      </w:numPr>
      <w:contextualSpacing/>
    </w:pPr>
  </w:style>
  <w:style w:type="paragraph" w:customStyle="1" w:styleId="ReplyForwardHeaders">
    <w:name w:val="Reply/Forward Headers"/>
    <w:basedOn w:val="Normal"/>
    <w:rsid w:val="00990932"/>
  </w:style>
  <w:style w:type="paragraph" w:customStyle="1" w:styleId="ReplyForwardToFromDate">
    <w:name w:val="Reply/Forward To: From: Date:"/>
    <w:basedOn w:val="Normal"/>
    <w:rsid w:val="00990932"/>
  </w:style>
  <w:style w:type="paragraph" w:styleId="NoSpacing">
    <w:name w:val="No Spacing"/>
    <w:uiPriority w:val="1"/>
    <w:qFormat/>
    <w:rsid w:val="00990932"/>
    <w:pPr>
      <w:spacing w:after="0" w:line="240" w:lineRule="auto"/>
    </w:pPr>
  </w:style>
  <w:style w:type="paragraph" w:styleId="Revision">
    <w:name w:val="Revision"/>
    <w:hidden/>
    <w:uiPriority w:val="99"/>
    <w:semiHidden/>
    <w:rsid w:val="009909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15E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40E7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xmsonormal">
    <w:name w:val="x_msonormal"/>
    <w:basedOn w:val="Normal"/>
    <w:rsid w:val="00666704"/>
    <w:rPr>
      <w:rFonts w:ascii="Calibri" w:hAnsi="Calibri" w:cs="Calibri"/>
      <w:lang w:eastAsia="en-GB"/>
    </w:rPr>
  </w:style>
  <w:style w:type="character" w:customStyle="1" w:styleId="apple-converted-space">
    <w:name w:val="apple-converted-space"/>
    <w:basedOn w:val="DefaultParagraphFont"/>
    <w:rsid w:val="0065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62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87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45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62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3640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66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440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8351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54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4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25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92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99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723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93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52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4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204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60179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452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059">
          <w:marLeft w:val="0"/>
          <w:marRight w:val="0"/>
          <w:marTop w:val="0"/>
          <w:marBottom w:val="0"/>
          <w:divBdr>
            <w:top w:val="single" w:sz="6" w:space="6" w:color="B8D5EA"/>
            <w:left w:val="single" w:sz="6" w:space="9" w:color="B8D5EA"/>
            <w:bottom w:val="single" w:sz="6" w:space="6" w:color="B8D5EA"/>
            <w:right w:val="single" w:sz="6" w:space="9" w:color="B8D5EA"/>
          </w:divBdr>
        </w:div>
        <w:div w:id="13518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87">
              <w:marLeft w:val="0"/>
              <w:marRight w:val="0"/>
              <w:marTop w:val="0"/>
              <w:marBottom w:val="0"/>
              <w:divBdr>
                <w:top w:val="single" w:sz="6" w:space="6" w:color="C4E6D2"/>
                <w:left w:val="single" w:sz="6" w:space="9" w:color="C4E6D2"/>
                <w:bottom w:val="single" w:sz="6" w:space="6" w:color="C4E6D2"/>
                <w:right w:val="single" w:sz="6" w:space="9" w:color="C4E6D2"/>
              </w:divBdr>
            </w:div>
            <w:div w:id="1207641606">
              <w:marLeft w:val="0"/>
              <w:marRight w:val="0"/>
              <w:marTop w:val="0"/>
              <w:marBottom w:val="0"/>
              <w:divBdr>
                <w:top w:val="single" w:sz="6" w:space="6" w:color="C4E6D2"/>
                <w:left w:val="single" w:sz="6" w:space="9" w:color="C4E6D2"/>
                <w:bottom w:val="single" w:sz="6" w:space="6" w:color="C4E6D2"/>
                <w:right w:val="single" w:sz="6" w:space="9" w:color="C4E6D2"/>
              </w:divBdr>
            </w:div>
          </w:divsChild>
        </w:div>
        <w:div w:id="9076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141">
              <w:marLeft w:val="0"/>
              <w:marRight w:val="0"/>
              <w:marTop w:val="0"/>
              <w:marBottom w:val="0"/>
              <w:divBdr>
                <w:top w:val="single" w:sz="6" w:space="6" w:color="C4E6D2"/>
                <w:left w:val="single" w:sz="6" w:space="9" w:color="C4E6D2"/>
                <w:bottom w:val="single" w:sz="6" w:space="6" w:color="C4E6D2"/>
                <w:right w:val="single" w:sz="6" w:space="9" w:color="C4E6D2"/>
              </w:divBdr>
            </w:div>
            <w:div w:id="1941790925">
              <w:marLeft w:val="0"/>
              <w:marRight w:val="0"/>
              <w:marTop w:val="0"/>
              <w:marBottom w:val="0"/>
              <w:divBdr>
                <w:top w:val="single" w:sz="6" w:space="6" w:color="C4E6D2"/>
                <w:left w:val="single" w:sz="6" w:space="9" w:color="C4E6D2"/>
                <w:bottom w:val="single" w:sz="6" w:space="6" w:color="C4E6D2"/>
                <w:right w:val="single" w:sz="6" w:space="9" w:color="C4E6D2"/>
              </w:divBdr>
            </w:div>
          </w:divsChild>
        </w:div>
        <w:div w:id="126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299">
              <w:marLeft w:val="0"/>
              <w:marRight w:val="0"/>
              <w:marTop w:val="0"/>
              <w:marBottom w:val="0"/>
              <w:divBdr>
                <w:top w:val="single" w:sz="6" w:space="6" w:color="C4E6D2"/>
                <w:left w:val="single" w:sz="6" w:space="9" w:color="C4E6D2"/>
                <w:bottom w:val="single" w:sz="6" w:space="6" w:color="C4E6D2"/>
                <w:right w:val="single" w:sz="6" w:space="9" w:color="C4E6D2"/>
              </w:divBdr>
            </w:div>
            <w:div w:id="1192839525">
              <w:marLeft w:val="0"/>
              <w:marRight w:val="0"/>
              <w:marTop w:val="0"/>
              <w:marBottom w:val="0"/>
              <w:divBdr>
                <w:top w:val="single" w:sz="6" w:space="6" w:color="F5C6CB"/>
                <w:left w:val="single" w:sz="6" w:space="9" w:color="F5C6CB"/>
                <w:bottom w:val="single" w:sz="6" w:space="6" w:color="F5C6CB"/>
                <w:right w:val="single" w:sz="6" w:space="9" w:color="F5C6CB"/>
              </w:divBdr>
            </w:div>
          </w:divsChild>
        </w:div>
      </w:divsChild>
    </w:div>
    <w:div w:id="1796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5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092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201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87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Rutter Matt (RVW) Medicine</dc:creator>
  <cp:keywords/>
  <dc:description/>
  <cp:lastModifiedBy>Mackintosh, Joanne</cp:lastModifiedBy>
  <cp:revision>3</cp:revision>
  <dcterms:created xsi:type="dcterms:W3CDTF">2021-11-30T10:36:00Z</dcterms:created>
  <dcterms:modified xsi:type="dcterms:W3CDTF">2021-11-30T10:41:00Z</dcterms:modified>
</cp:coreProperties>
</file>